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CORPORATE RESPONSIBILITY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Policy Statement</w:t>
      </w:r>
    </w:p>
    <w:p>
      <w:pPr>
        <w:spacing w:after="80"/>
      </w:pPr>
      <w:r>
        <w:rPr>
          <w:rFonts w:ascii="Arial" w:cs="Arial" w:eastAsia="Arial" w:hAnsi="Arial"/>
          <w:color w:val="3A3A3A"/>
          <w:sz w:val="21"/>
          <w:szCs w:val="21"/>
        </w:rPr>
        <w:t xml:space="preserve">Section 2: Responsibilities</w:t>
      </w:r>
    </w:p>
    <w:p>
      <w:pPr>
        <w:spacing w:after="80"/>
      </w:pPr>
      <w:r>
        <w:rPr>
          <w:rFonts w:ascii="Arial" w:cs="Arial" w:eastAsia="Arial" w:hAnsi="Arial"/>
          <w:color w:val="3A3A3A"/>
          <w:sz w:val="21"/>
          <w:szCs w:val="21"/>
        </w:rPr>
        <w:t xml:space="preserve">Section 3: Our Commitments</w:t>
      </w:r>
    </w:p>
    <w:p>
      <w:pPr>
        <w:spacing w:after="80"/>
      </w:pPr>
      <w:r>
        <w:rPr>
          <w:rFonts w:ascii="Arial" w:cs="Arial" w:eastAsia="Arial" w:hAnsi="Arial"/>
          <w:color w:val="3A3A3A"/>
          <w:sz w:val="21"/>
          <w:szCs w:val="21"/>
        </w:rPr>
        <w:t xml:space="preserve">Section 4: Raising Concerns</w:t>
      </w:r>
    </w:p>
    <w:p>
      <w:pPr>
        <w:spacing w:after="80"/>
      </w:pPr>
      <w:r>
        <w:rPr>
          <w:rFonts w:ascii="Arial" w:cs="Arial" w:eastAsia="Arial" w:hAnsi="Arial"/>
          <w:color w:val="3A3A3A"/>
          <w:sz w:val="21"/>
          <w:szCs w:val="21"/>
        </w:rPr>
        <w:t xml:space="preserve">Section 5: Related Policies</w:t>
      </w:r>
    </w:p>
    <w:p>
      <w:pPr>
        <w:spacing w:after="80"/>
      </w:pPr>
      <w:r>
        <w:rPr>
          <w:rFonts w:ascii="Arial" w:cs="Arial" w:eastAsia="Arial" w:hAnsi="Arial"/>
          <w:color w:val="3A3A3A"/>
          <w:sz w:val="21"/>
          <w:szCs w:val="21"/>
        </w:rPr>
        <w:t xml:space="preserve">Section 6: Communication and Monitoring</w:t>
      </w:r>
    </w:p>
    <w:p>
      <w:pPr>
        <w:spacing w:after="80"/>
      </w:pPr>
      <w:r>
        <w:rPr>
          <w:rFonts w:ascii="Arial" w:cs="Arial" w:eastAsia="Arial" w:hAnsi="Arial"/>
          <w:color w:val="3A3A3A"/>
          <w:sz w:val="21"/>
          <w:szCs w:val="21"/>
        </w:rPr>
        <w:t xml:space="preserve">Section 7: Legislation</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POLICY STATEMENT</w:t>
      </w:r>
    </w:p>
    <w:p>
      <w:pPr>
        <w:spacing w:after="140" w:line="300"/>
      </w:pPr>
      <w:commentRangeStart w:id="1"/>
      <w:r>
        <w:rPr>
          <w:rFonts w:ascii="Arial" w:cs="Arial" w:eastAsia="Arial" w:hAnsi="Arial"/>
          <w:color w:val="3A3A3A"/>
          <w:sz w:val="21"/>
          <w:szCs w:val="21"/>
          <w:highlight w:val="yellow"/>
        </w:rPr>
        <w:t xml:space="preserve">⟦legalName⟧ (⟦short⟧) is a small security systems design consultancy. Our reputation rests on clients trusting our advice, so we run the business honestly, treat people fairly and keep our promises. This policy sets out how we do that and points to the specific policies that sit behind it.</w:t>
      </w:r>
      <w:commentRangeEnd w:id="1"/>
      <w:r>
        <w:commentReference w:id="1"/>
      </w:r>
    </w:p>
    <w:p>
      <w:pPr>
        <w:spacing w:after="140" w:line="300"/>
      </w:pPr>
      <w:r>
        <w:rPr>
          <w:rFonts w:ascii="Arial" w:cs="Arial" w:eastAsia="Arial" w:hAnsi="Arial"/>
          <w:color w:val="3A3A3A"/>
          <w:sz w:val="21"/>
          <w:szCs w:val="21"/>
        </w:rPr>
        <w:t xml:space="preserve">It applies to everyone who works for ⟦short⟧ and to everything we do in the Company's name.</w:t>
      </w:r>
    </w:p>
    <w:p>
      <w:pPr>
        <w:pStyle w:val="Heading1"/>
        <w:pBdr>
          <w:bottom w:val="single" w:color="9A9A9A" w:sz="4" w:space="4"/>
        </w:pBdr>
        <w:spacing w:after="160" w:before="360"/>
      </w:pPr>
      <w:r>
        <w:rPr>
          <w:rFonts w:ascii="Arial" w:cs="Arial" w:eastAsia="Arial" w:hAnsi="Arial"/>
          <w:b/>
          <w:bCs/>
          <w:color w:val="2E4A5C"/>
          <w:sz w:val="24"/>
          <w:szCs w:val="24"/>
        </w:rPr>
        <w:t xml:space="preserve">SECTION 2: RESPONSIBILITIES</w:t>
      </w:r>
    </w:p>
    <w:p>
      <w:pPr>
        <w:pStyle w:val="ListParagraph"/>
        <w:numPr>
          <w:ilvl w:val="0"/>
          <w:numId w:val="2"/>
        </w:numPr>
        <w:spacing w:after="80" w:line="290"/>
      </w:pPr>
      <w:r>
        <w:rPr>
          <w:rFonts w:ascii="Arial" w:cs="Arial" w:eastAsia="Arial" w:hAnsi="Arial"/>
          <w:b/>
          <w:bCs/>
          <w:color w:val="3A3A3A"/>
          <w:sz w:val="21"/>
          <w:szCs w:val="21"/>
        </w:rPr>
        <w:t xml:space="preserve">Managing Director (⟦hsLead⟧):</w:t>
      </w:r>
      <w:r>
        <w:rPr>
          <w:rFonts w:ascii="Arial" w:cs="Arial" w:eastAsia="Arial" w:hAnsi="Arial"/>
          <w:color w:val="3A3A3A"/>
          <w:sz w:val="21"/>
          <w:szCs w:val="21"/>
        </w:rPr>
        <w:t xml:space="preserve"> owns this policy, sets the standard by example, deals with any breach and reviews the policy every year.</w:t>
      </w:r>
    </w:p>
    <w:p>
      <w:pPr>
        <w:pStyle w:val="ListParagraph"/>
        <w:numPr>
          <w:ilvl w:val="0"/>
          <w:numId w:val="2"/>
        </w:numPr>
        <w:spacing w:after="80" w:line="290"/>
      </w:pPr>
      <w:r>
        <w:rPr>
          <w:rFonts w:ascii="Arial" w:cs="Arial" w:eastAsia="Arial" w:hAnsi="Arial"/>
          <w:b/>
          <w:bCs/>
          <w:color w:val="3A3A3A"/>
          <w:sz w:val="21"/>
          <w:szCs w:val="21"/>
        </w:rPr>
        <w:t xml:space="preserve">Everyone who works for ⟦short⟧:</w:t>
      </w:r>
      <w:r>
        <w:rPr>
          <w:rFonts w:ascii="Arial" w:cs="Arial" w:eastAsia="Arial" w:hAnsi="Arial"/>
          <w:color w:val="3A3A3A"/>
          <w:sz w:val="21"/>
          <w:szCs w:val="21"/>
        </w:rPr>
        <w:t xml:space="preserve"> acts in line with this policy and the policies listed in Section 5, and raises any concern straight away.</w:t>
      </w:r>
    </w:p>
    <w:p>
      <w:pPr>
        <w:pStyle w:val="Heading1"/>
        <w:pBdr>
          <w:bottom w:val="single" w:color="9A9A9A" w:sz="4" w:space="4"/>
        </w:pBdr>
        <w:spacing w:after="160" w:before="360"/>
      </w:pPr>
      <w:r>
        <w:rPr>
          <w:rFonts w:ascii="Arial" w:cs="Arial" w:eastAsia="Arial" w:hAnsi="Arial"/>
          <w:b/>
          <w:bCs/>
          <w:color w:val="2E4A5C"/>
          <w:sz w:val="24"/>
          <w:szCs w:val="24"/>
        </w:rPr>
        <w:t xml:space="preserve">SECTION 3: OUR COMMITMENTS</w:t>
      </w:r>
    </w:p>
    <w:p>
      <w:pPr>
        <w:pStyle w:val="Heading2"/>
        <w:keepNext/>
        <w:spacing w:after="100" w:before="220"/>
      </w:pPr>
      <w:r>
        <w:rPr>
          <w:rFonts w:ascii="Arial" w:cs="Arial" w:eastAsia="Arial" w:hAnsi="Arial"/>
          <w:b/>
          <w:bCs/>
          <w:color w:val="2E4A5C"/>
          <w:sz w:val="22"/>
          <w:szCs w:val="22"/>
        </w:rPr>
        <w:t xml:space="preserve">Clients</w:t>
      </w:r>
    </w:p>
    <w:p>
      <w:pPr>
        <w:pStyle w:val="ListParagraph"/>
        <w:numPr>
          <w:ilvl w:val="0"/>
          <w:numId w:val="2"/>
        </w:numPr>
        <w:spacing w:after="80" w:line="290"/>
      </w:pPr>
      <w:r>
        <w:rPr>
          <w:rFonts w:ascii="Arial" w:cs="Arial" w:eastAsia="Arial" w:hAnsi="Arial"/>
          <w:color w:val="3A3A3A"/>
          <w:sz w:val="21"/>
          <w:szCs w:val="21"/>
        </w:rPr>
        <w:t xml:space="preserve">Give honest, independent advice. We do not specify a product because of any benefit to us.</w:t>
      </w:r>
    </w:p>
    <w:p>
      <w:pPr>
        <w:pStyle w:val="ListParagraph"/>
        <w:numPr>
          <w:ilvl w:val="0"/>
          <w:numId w:val="2"/>
        </w:numPr>
        <w:spacing w:after="80" w:line="290"/>
      </w:pPr>
      <w:r>
        <w:rPr>
          <w:rFonts w:ascii="Arial" w:cs="Arial" w:eastAsia="Arial" w:hAnsi="Arial"/>
          <w:color w:val="3A3A3A"/>
          <w:sz w:val="21"/>
          <w:szCs w:val="21"/>
        </w:rPr>
        <w:t xml:space="preserve">Keep client information confidential and handle it in line with our GDPR Policy.</w:t>
      </w:r>
    </w:p>
    <w:p>
      <w:pPr>
        <w:pStyle w:val="ListParagraph"/>
        <w:numPr>
          <w:ilvl w:val="0"/>
          <w:numId w:val="2"/>
        </w:numPr>
        <w:spacing w:after="80" w:line="290"/>
      </w:pPr>
      <w:r>
        <w:rPr>
          <w:rFonts w:ascii="Arial" w:cs="Arial" w:eastAsia="Arial" w:hAnsi="Arial"/>
          <w:color w:val="3A3A3A"/>
          <w:sz w:val="21"/>
          <w:szCs w:val="21"/>
        </w:rPr>
        <w:t xml:space="preserve">Do not overstate what we can do in proposals, marketing or on our website.</w:t>
      </w:r>
    </w:p>
    <w:p>
      <w:pPr>
        <w:pStyle w:val="ListParagraph"/>
        <w:numPr>
          <w:ilvl w:val="0"/>
          <w:numId w:val="2"/>
        </w:numPr>
        <w:spacing w:after="80" w:line="290"/>
      </w:pPr>
      <w:r>
        <w:rPr>
          <w:rFonts w:ascii="Arial" w:cs="Arial" w:eastAsia="Arial" w:hAnsi="Arial"/>
          <w:color w:val="3A3A3A"/>
          <w:sz w:val="21"/>
          <w:szCs w:val="21"/>
        </w:rPr>
        <w:t xml:space="preserve">Only take on work we are competent to carry out.</w:t>
      </w:r>
    </w:p>
    <w:p>
      <w:pPr>
        <w:pStyle w:val="Heading2"/>
        <w:keepNext/>
        <w:spacing w:after="100" w:before="220"/>
      </w:pPr>
      <w:r>
        <w:rPr>
          <w:rFonts w:ascii="Arial" w:cs="Arial" w:eastAsia="Arial" w:hAnsi="Arial"/>
          <w:b/>
          <w:bCs/>
          <w:color w:val="2E4A5C"/>
          <w:sz w:val="22"/>
          <w:szCs w:val="22"/>
        </w:rPr>
        <w:t xml:space="preserve">Employees</w:t>
      </w:r>
    </w:p>
    <w:p>
      <w:pPr>
        <w:pStyle w:val="ListParagraph"/>
        <w:numPr>
          <w:ilvl w:val="0"/>
          <w:numId w:val="2"/>
        </w:numPr>
        <w:spacing w:after="80" w:line="290"/>
      </w:pPr>
      <w:r>
        <w:rPr>
          <w:rFonts w:ascii="Arial" w:cs="Arial" w:eastAsia="Arial" w:hAnsi="Arial"/>
          <w:color w:val="3A3A3A"/>
          <w:sz w:val="21"/>
          <w:szCs w:val="21"/>
        </w:rPr>
        <w:t xml:space="preserve">Pay fairly and on time, and at least the National Living Wage.</w:t>
      </w:r>
    </w:p>
    <w:p>
      <w:pPr>
        <w:pStyle w:val="ListParagraph"/>
        <w:numPr>
          <w:ilvl w:val="0"/>
          <w:numId w:val="2"/>
        </w:numPr>
        <w:spacing w:after="80" w:line="290"/>
      </w:pPr>
      <w:r>
        <w:rPr>
          <w:rFonts w:ascii="Arial" w:cs="Arial" w:eastAsia="Arial" w:hAnsi="Arial"/>
          <w:color w:val="3A3A3A"/>
          <w:sz w:val="21"/>
          <w:szCs w:val="21"/>
        </w:rPr>
        <w:t xml:space="preserve">Treat everyone with dignity and respect. Harassment and bullying are not tolerated.</w:t>
      </w:r>
    </w:p>
    <w:p>
      <w:pPr>
        <w:pStyle w:val="ListParagraph"/>
        <w:numPr>
          <w:ilvl w:val="0"/>
          <w:numId w:val="2"/>
        </w:numPr>
        <w:spacing w:after="80" w:line="290"/>
      </w:pPr>
      <w:r>
        <w:rPr>
          <w:rFonts w:ascii="Arial" w:cs="Arial" w:eastAsia="Arial" w:hAnsi="Arial"/>
          <w:color w:val="3A3A3A"/>
          <w:sz w:val="21"/>
          <w:szCs w:val="21"/>
        </w:rPr>
        <w:t xml:space="preserve">Give people the training and support they need to do their job safely and well.</w:t>
      </w:r>
    </w:p>
    <w:p>
      <w:pPr>
        <w:pStyle w:val="ListParagraph"/>
        <w:numPr>
          <w:ilvl w:val="0"/>
          <w:numId w:val="2"/>
        </w:numPr>
        <w:spacing w:after="80" w:line="290"/>
      </w:pPr>
      <w:r>
        <w:rPr>
          <w:rFonts w:ascii="Arial" w:cs="Arial" w:eastAsia="Arial" w:hAnsi="Arial"/>
          <w:color w:val="3A3A3A"/>
          <w:sz w:val="21"/>
          <w:szCs w:val="21"/>
        </w:rPr>
        <w:t xml:space="preserve">Listen to concerns and act on them.</w:t>
      </w:r>
    </w:p>
    <w:p>
      <w:pPr>
        <w:pStyle w:val="Heading2"/>
        <w:keepNext/>
        <w:spacing w:after="100" w:before="220"/>
      </w:pPr>
      <w:r>
        <w:rPr>
          <w:rFonts w:ascii="Arial" w:cs="Arial" w:eastAsia="Arial" w:hAnsi="Arial"/>
          <w:b/>
          <w:bCs/>
          <w:color w:val="2E4A5C"/>
          <w:sz w:val="22"/>
          <w:szCs w:val="22"/>
        </w:rPr>
        <w:t xml:space="preserve">Suppliers and advisers</w:t>
      </w:r>
    </w:p>
    <w:p>
      <w:pPr>
        <w:pStyle w:val="ListParagraph"/>
        <w:numPr>
          <w:ilvl w:val="0"/>
          <w:numId w:val="2"/>
        </w:numPr>
        <w:spacing w:after="80" w:line="290"/>
      </w:pPr>
      <w:r>
        <w:rPr>
          <w:rFonts w:ascii="Arial" w:cs="Arial" w:eastAsia="Arial" w:hAnsi="Arial"/>
          <w:color w:val="3A3A3A"/>
          <w:sz w:val="21"/>
          <w:szCs w:val="21"/>
        </w:rPr>
        <w:t xml:space="preserve">Deal with suppliers professionally and pay them on time and on the agreed terms.</w:t>
      </w:r>
    </w:p>
    <w:p>
      <w:pPr>
        <w:pStyle w:val="ListParagraph"/>
        <w:numPr>
          <w:ilvl w:val="0"/>
          <w:numId w:val="2"/>
        </w:numPr>
        <w:spacing w:after="80" w:line="290"/>
      </w:pPr>
      <w:r>
        <w:rPr>
          <w:rFonts w:ascii="Arial" w:cs="Arial" w:eastAsia="Arial" w:hAnsi="Arial"/>
          <w:color w:val="3A3A3A"/>
          <w:sz w:val="21"/>
          <w:szCs w:val="21"/>
        </w:rPr>
        <w:t xml:space="preserve">Expect suppliers to meet the same standards on bribery, modern slavery and fair treatment of their own workers.</w:t>
      </w:r>
    </w:p>
    <w:p>
      <w:pPr>
        <w:pStyle w:val="Heading2"/>
        <w:keepNext/>
        <w:spacing w:after="100" w:before="220"/>
      </w:pPr>
      <w:r>
        <w:rPr>
          <w:rFonts w:ascii="Arial" w:cs="Arial" w:eastAsia="Arial" w:hAnsi="Arial"/>
          <w:b/>
          <w:bCs/>
          <w:color w:val="2E4A5C"/>
          <w:sz w:val="22"/>
          <w:szCs w:val="22"/>
        </w:rPr>
        <w:t xml:space="preserve">Competitors</w:t>
      </w:r>
    </w:p>
    <w:p>
      <w:pPr>
        <w:pStyle w:val="ListParagraph"/>
        <w:numPr>
          <w:ilvl w:val="0"/>
          <w:numId w:val="2"/>
        </w:numPr>
        <w:spacing w:after="80" w:line="290"/>
      </w:pPr>
      <w:r>
        <w:rPr>
          <w:rFonts w:ascii="Arial" w:cs="Arial" w:eastAsia="Arial" w:hAnsi="Arial"/>
          <w:color w:val="3A3A3A"/>
          <w:sz w:val="21"/>
          <w:szCs w:val="21"/>
        </w:rPr>
        <w:t xml:space="preserve">Compete fairly and lawfully. We never agree prices, share bids or submit cover prices.</w:t>
      </w:r>
    </w:p>
    <w:p>
      <w:pPr>
        <w:pStyle w:val="ListParagraph"/>
        <w:numPr>
          <w:ilvl w:val="0"/>
          <w:numId w:val="2"/>
        </w:numPr>
        <w:spacing w:after="80" w:line="290"/>
      </w:pPr>
      <w:r>
        <w:rPr>
          <w:rFonts w:ascii="Arial" w:cs="Arial" w:eastAsia="Arial" w:hAnsi="Arial"/>
          <w:color w:val="3A3A3A"/>
          <w:sz w:val="21"/>
          <w:szCs w:val="21"/>
        </w:rPr>
        <w:t xml:space="preserve">Do not run down competitors or try to obtain their confidential information.</w:t>
      </w:r>
    </w:p>
    <w:p>
      <w:pPr>
        <w:pStyle w:val="Heading2"/>
        <w:keepNext/>
        <w:spacing w:after="100" w:before="220"/>
      </w:pPr>
      <w:r>
        <w:rPr>
          <w:rFonts w:ascii="Arial" w:cs="Arial" w:eastAsia="Arial" w:hAnsi="Arial"/>
          <w:b/>
          <w:bCs/>
          <w:color w:val="2E4A5C"/>
          <w:sz w:val="22"/>
          <w:szCs w:val="22"/>
        </w:rPr>
        <w:t xml:space="preserve">Law, tax and public bodies</w:t>
      </w:r>
    </w:p>
    <w:p>
      <w:pPr>
        <w:pStyle w:val="ListParagraph"/>
        <w:numPr>
          <w:ilvl w:val="0"/>
          <w:numId w:val="2"/>
        </w:numPr>
        <w:spacing w:after="80" w:line="290"/>
      </w:pPr>
      <w:r>
        <w:rPr>
          <w:rFonts w:ascii="Arial" w:cs="Arial" w:eastAsia="Arial" w:hAnsi="Arial"/>
          <w:color w:val="3A3A3A"/>
          <w:sz w:val="21"/>
          <w:szCs w:val="21"/>
        </w:rPr>
        <w:t xml:space="preserve">Comply with the law that applies to our business.</w:t>
      </w:r>
    </w:p>
    <w:p>
      <w:pPr>
        <w:pStyle w:val="ListParagraph"/>
        <w:numPr>
          <w:ilvl w:val="0"/>
          <w:numId w:val="2"/>
        </w:numPr>
        <w:spacing w:after="80" w:line="290"/>
      </w:pPr>
      <w:r>
        <w:rPr>
          <w:rFonts w:ascii="Arial" w:cs="Arial" w:eastAsia="Arial" w:hAnsi="Arial"/>
          <w:color w:val="3A3A3A"/>
          <w:sz w:val="21"/>
          <w:szCs w:val="21"/>
        </w:rPr>
        <w:t xml:space="preserve">Pay the tax we owe on time, and never help anyone else to evade tax.</w:t>
      </w:r>
    </w:p>
    <w:p>
      <w:pPr>
        <w:pStyle w:val="ListParagraph"/>
        <w:numPr>
          <w:ilvl w:val="0"/>
          <w:numId w:val="2"/>
        </w:numPr>
        <w:spacing w:after="80" w:line="290"/>
      </w:pPr>
      <w:r>
        <w:rPr>
          <w:rFonts w:ascii="Arial" w:cs="Arial" w:eastAsia="Arial" w:hAnsi="Arial"/>
          <w:color w:val="3A3A3A"/>
          <w:sz w:val="21"/>
          <w:szCs w:val="21"/>
        </w:rPr>
        <w:t xml:space="preserve">Make no donations to political parties.</w:t>
      </w:r>
    </w:p>
    <w:p>
      <w:pPr>
        <w:pStyle w:val="Heading2"/>
        <w:keepNext/>
        <w:spacing w:after="100" w:before="220"/>
      </w:pPr>
      <w:r>
        <w:rPr>
          <w:rFonts w:ascii="Arial" w:cs="Arial" w:eastAsia="Arial" w:hAnsi="Arial"/>
          <w:b/>
          <w:bCs/>
          <w:color w:val="2E4A5C"/>
          <w:sz w:val="22"/>
          <w:szCs w:val="22"/>
        </w:rPr>
        <w:t xml:space="preserve">Community and environment</w:t>
      </w:r>
    </w:p>
    <w:p>
      <w:pPr>
        <w:pStyle w:val="ListParagraph"/>
        <w:numPr>
          <w:ilvl w:val="0"/>
          <w:numId w:val="2"/>
        </w:numPr>
        <w:spacing w:after="80" w:line="290"/>
      </w:pPr>
      <w:r>
        <w:rPr>
          <w:rFonts w:ascii="Arial" w:cs="Arial" w:eastAsia="Arial" w:hAnsi="Arial"/>
          <w:color w:val="3A3A3A"/>
          <w:sz w:val="21"/>
          <w:szCs w:val="21"/>
        </w:rPr>
        <w:t xml:space="preserve">Support the communities we work in where we sensibly can, as set out in our Social Value Policy.</w:t>
      </w:r>
    </w:p>
    <w:p>
      <w:pPr>
        <w:pStyle w:val="ListParagraph"/>
        <w:numPr>
          <w:ilvl w:val="0"/>
          <w:numId w:val="2"/>
        </w:numPr>
        <w:spacing w:after="80" w:line="290"/>
      </w:pPr>
      <w:r>
        <w:rPr>
          <w:rFonts w:ascii="Arial" w:cs="Arial" w:eastAsia="Arial" w:hAnsi="Arial"/>
          <w:color w:val="3A3A3A"/>
          <w:sz w:val="21"/>
          <w:szCs w:val="21"/>
        </w:rPr>
        <w:t xml:space="preserve">Keep our environmental impact low, as set out in our Environmental and Sustainability Policy. Working remotely already removes most commuting.</w:t>
      </w:r>
    </w:p>
    <w:p>
      <w:pPr>
        <w:pStyle w:val="Heading1"/>
        <w:pBdr>
          <w:bottom w:val="single" w:color="9A9A9A" w:sz="4" w:space="4"/>
        </w:pBdr>
        <w:spacing w:after="160" w:before="360"/>
      </w:pPr>
      <w:r>
        <w:rPr>
          <w:rFonts w:ascii="Arial" w:cs="Arial" w:eastAsia="Arial" w:hAnsi="Arial"/>
          <w:b/>
          <w:bCs/>
          <w:color w:val="2E4A5C"/>
          <w:sz w:val="24"/>
          <w:szCs w:val="24"/>
        </w:rPr>
        <w:t xml:space="preserve">SECTION 4: RAISING CONCERNS</w:t>
      </w:r>
    </w:p>
    <w:p>
      <w:pPr>
        <w:spacing w:after="140" w:line="300"/>
      </w:pPr>
      <w:r>
        <w:rPr>
          <w:rFonts w:ascii="Arial" w:cs="Arial" w:eastAsia="Arial" w:hAnsi="Arial"/>
          <w:color w:val="3A3A3A"/>
          <w:sz w:val="21"/>
          <w:szCs w:val="21"/>
        </w:rPr>
        <w:t xml:space="preserve">Anyone who is worried that something at ⟦short⟧ is unethical, unlawful or unsafe should raise it with the Managing Director straight away. If the concern is about the Managing Director, or they would rather not raise it inside the Company, they can contact ACAS on 0300 123 1100 or Protect on 020 3117 2520. The full routes are in our Whistleblowing Policy. Nobody will suffer any detriment for raising a genuine concern.</w:t>
      </w:r>
    </w:p>
    <w:p>
      <w:pPr>
        <w:pStyle w:val="Heading1"/>
        <w:pBdr>
          <w:bottom w:val="single" w:color="9A9A9A" w:sz="4" w:space="4"/>
        </w:pBdr>
        <w:spacing w:after="160" w:before="360"/>
      </w:pPr>
      <w:r>
        <w:rPr>
          <w:rFonts w:ascii="Arial" w:cs="Arial" w:eastAsia="Arial" w:hAnsi="Arial"/>
          <w:b/>
          <w:bCs/>
          <w:color w:val="2E4A5C"/>
          <w:sz w:val="24"/>
          <w:szCs w:val="24"/>
        </w:rPr>
        <w:t xml:space="preserve">SECTION 5: RELATED POLICIES</w:t>
      </w:r>
    </w:p>
    <w:p>
      <w:pPr>
        <w:spacing w:after="140" w:line="300"/>
      </w:pPr>
      <w:r>
        <w:rPr>
          <w:rFonts w:ascii="Arial" w:cs="Arial" w:eastAsia="Arial" w:hAnsi="Arial"/>
          <w:color w:val="3A3A3A"/>
          <w:sz w:val="21"/>
          <w:szCs w:val="21"/>
        </w:rPr>
        <w:t xml:space="preserve">This policy is supported by the following, which set out the detail:</w:t>
      </w:r>
    </w:p>
    <w:p>
      <w:pPr>
        <w:pStyle w:val="ListParagraph"/>
        <w:numPr>
          <w:ilvl w:val="0"/>
          <w:numId w:val="2"/>
        </w:numPr>
        <w:spacing w:after="80" w:line="290"/>
      </w:pPr>
      <w:r>
        <w:rPr>
          <w:rFonts w:ascii="Arial" w:cs="Arial" w:eastAsia="Arial" w:hAnsi="Arial"/>
          <w:color w:val="3A3A3A"/>
          <w:sz w:val="21"/>
          <w:szCs w:val="21"/>
        </w:rPr>
        <w:t xml:space="preserve">Anti-Bribery and Corruption Policy</w:t>
      </w:r>
    </w:p>
    <w:p>
      <w:pPr>
        <w:pStyle w:val="ListParagraph"/>
        <w:numPr>
          <w:ilvl w:val="0"/>
          <w:numId w:val="2"/>
        </w:numPr>
        <w:spacing w:after="80" w:line="290"/>
      </w:pPr>
      <w:r>
        <w:rPr>
          <w:rFonts w:ascii="Arial" w:cs="Arial" w:eastAsia="Arial" w:hAnsi="Arial"/>
          <w:color w:val="3A3A3A"/>
          <w:sz w:val="21"/>
          <w:szCs w:val="21"/>
        </w:rPr>
        <w:t xml:space="preserve">Fraud Prevention Policy</w:t>
      </w:r>
    </w:p>
    <w:p>
      <w:pPr>
        <w:pStyle w:val="ListParagraph"/>
        <w:numPr>
          <w:ilvl w:val="0"/>
          <w:numId w:val="2"/>
        </w:numPr>
        <w:spacing w:after="80" w:line="290"/>
      </w:pPr>
      <w:r>
        <w:rPr>
          <w:rFonts w:ascii="Arial" w:cs="Arial" w:eastAsia="Arial" w:hAnsi="Arial"/>
          <w:color w:val="3A3A3A"/>
          <w:sz w:val="21"/>
          <w:szCs w:val="21"/>
        </w:rPr>
        <w:t xml:space="preserve">Prevention of the Facilitation of Tax Evasion Policy</w:t>
      </w:r>
    </w:p>
    <w:p>
      <w:pPr>
        <w:pStyle w:val="ListParagraph"/>
        <w:numPr>
          <w:ilvl w:val="0"/>
          <w:numId w:val="2"/>
        </w:numPr>
        <w:spacing w:after="80" w:line="290"/>
      </w:pPr>
      <w:r>
        <w:rPr>
          <w:rFonts w:ascii="Arial" w:cs="Arial" w:eastAsia="Arial" w:hAnsi="Arial"/>
          <w:color w:val="3A3A3A"/>
          <w:sz w:val="21"/>
          <w:szCs w:val="21"/>
        </w:rPr>
        <w:t xml:space="preserve">Whistleblowing Policy</w:t>
      </w:r>
    </w:p>
    <w:p>
      <w:pPr>
        <w:pStyle w:val="ListParagraph"/>
        <w:numPr>
          <w:ilvl w:val="0"/>
          <w:numId w:val="2"/>
        </w:numPr>
        <w:spacing w:after="80" w:line="290"/>
      </w:pPr>
      <w:r>
        <w:rPr>
          <w:rFonts w:ascii="Arial" w:cs="Arial" w:eastAsia="Arial" w:hAnsi="Arial"/>
          <w:color w:val="3A3A3A"/>
          <w:sz w:val="21"/>
          <w:szCs w:val="21"/>
        </w:rPr>
        <w:t xml:space="preserve">Modern Slavery Policy</w:t>
      </w:r>
    </w:p>
    <w:p>
      <w:pPr>
        <w:pStyle w:val="ListParagraph"/>
        <w:numPr>
          <w:ilvl w:val="0"/>
          <w:numId w:val="2"/>
        </w:numPr>
        <w:spacing w:after="80" w:line="290"/>
      </w:pPr>
      <w:r>
        <w:rPr>
          <w:rFonts w:ascii="Arial" w:cs="Arial" w:eastAsia="Arial" w:hAnsi="Arial"/>
          <w:color w:val="3A3A3A"/>
          <w:sz w:val="21"/>
          <w:szCs w:val="21"/>
        </w:rPr>
        <w:t xml:space="preserve">Equal Opportunities and Diversity Policy</w:t>
      </w:r>
    </w:p>
    <w:p>
      <w:pPr>
        <w:pStyle w:val="ListParagraph"/>
        <w:numPr>
          <w:ilvl w:val="0"/>
          <w:numId w:val="2"/>
        </w:numPr>
        <w:spacing w:after="80" w:line="290"/>
      </w:pPr>
      <w:r>
        <w:rPr>
          <w:rFonts w:ascii="Arial" w:cs="Arial" w:eastAsia="Arial" w:hAnsi="Arial"/>
          <w:color w:val="3A3A3A"/>
          <w:sz w:val="21"/>
          <w:szCs w:val="21"/>
        </w:rPr>
        <w:t xml:space="preserve">Harassment and Bullying Policy</w:t>
      </w:r>
    </w:p>
    <w:p>
      <w:pPr>
        <w:pStyle w:val="ListParagraph"/>
        <w:numPr>
          <w:ilvl w:val="0"/>
          <w:numId w:val="2"/>
        </w:numPr>
        <w:spacing w:after="80" w:line="290"/>
      </w:pPr>
      <w:r>
        <w:rPr>
          <w:rFonts w:ascii="Arial" w:cs="Arial" w:eastAsia="Arial" w:hAnsi="Arial"/>
          <w:color w:val="3A3A3A"/>
          <w:sz w:val="21"/>
          <w:szCs w:val="21"/>
        </w:rPr>
        <w:t xml:space="preserve">GDPR Policy</w:t>
      </w:r>
    </w:p>
    <w:p>
      <w:pPr>
        <w:pStyle w:val="ListParagraph"/>
        <w:numPr>
          <w:ilvl w:val="0"/>
          <w:numId w:val="2"/>
        </w:numPr>
        <w:spacing w:after="80" w:line="290"/>
      </w:pPr>
      <w:r>
        <w:rPr>
          <w:rFonts w:ascii="Arial" w:cs="Arial" w:eastAsia="Arial" w:hAnsi="Arial"/>
          <w:color w:val="3A3A3A"/>
          <w:sz w:val="21"/>
          <w:szCs w:val="21"/>
        </w:rPr>
        <w:t xml:space="preserve">Environmental and Sustainability Policy</w:t>
      </w:r>
    </w:p>
    <w:p>
      <w:pPr>
        <w:pStyle w:val="ListParagraph"/>
        <w:numPr>
          <w:ilvl w:val="0"/>
          <w:numId w:val="2"/>
        </w:numPr>
        <w:spacing w:after="80" w:line="290"/>
      </w:pPr>
      <w:r>
        <w:rPr>
          <w:rFonts w:ascii="Arial" w:cs="Arial" w:eastAsia="Arial" w:hAnsi="Arial"/>
          <w:color w:val="3A3A3A"/>
          <w:sz w:val="21"/>
          <w:szCs w:val="21"/>
        </w:rPr>
        <w:t xml:space="preserve">Social Value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6: COMMUNICATION AND MONITORING</w:t>
      </w:r>
    </w:p>
    <w:p>
      <w:pPr>
        <w:spacing w:after="140" w:line="300"/>
      </w:pPr>
      <w:r>
        <w:rPr>
          <w:rFonts w:ascii="Arial" w:cs="Arial" w:eastAsia="Arial" w:hAnsi="Arial"/>
          <w:color w:val="3A3A3A"/>
          <w:sz w:val="21"/>
          <w:szCs w:val="21"/>
        </w:rPr>
        <w:t xml:space="preserve">The policy is held in the shared document folder and issued by email to everyone who works for ⟦short⟧, who confirm they have read it on the Policy Acknowledgement Form. It is covered at the annual team meeting, which is minuted with a signed attendance record. The Managing Director reviews any concern raised under it at that meeting.</w:t>
      </w:r>
    </w:p>
    <w:p>
      <w:pPr>
        <w:pStyle w:val="Heading1"/>
        <w:pBdr>
          <w:bottom w:val="single" w:color="9A9A9A" w:sz="4" w:space="4"/>
        </w:pBdr>
        <w:spacing w:after="160" w:before="360"/>
      </w:pPr>
      <w:r>
        <w:rPr>
          <w:rFonts w:ascii="Arial" w:cs="Arial" w:eastAsia="Arial" w:hAnsi="Arial"/>
          <w:b/>
          <w:bCs/>
          <w:color w:val="2E4A5C"/>
          <w:sz w:val="24"/>
          <w:szCs w:val="24"/>
        </w:rPr>
        <w:t xml:space="preserve">SECTION 7: LEGISLATION</w:t>
      </w:r>
    </w:p>
    <w:p>
      <w:pPr>
        <w:pStyle w:val="ListParagraph"/>
        <w:numPr>
          <w:ilvl w:val="0"/>
          <w:numId w:val="2"/>
        </w:numPr>
        <w:spacing w:after="80" w:line="290"/>
      </w:pPr>
      <w:r>
        <w:rPr>
          <w:rFonts w:ascii="Arial" w:cs="Arial" w:eastAsia="Arial" w:hAnsi="Arial"/>
          <w:color w:val="3A3A3A"/>
          <w:sz w:val="21"/>
          <w:szCs w:val="21"/>
        </w:rPr>
        <w:t xml:space="preserve">Bribery Act 2010</w:t>
      </w:r>
    </w:p>
    <w:p>
      <w:pPr>
        <w:pStyle w:val="ListParagraph"/>
        <w:numPr>
          <w:ilvl w:val="0"/>
          <w:numId w:val="2"/>
        </w:numPr>
        <w:spacing w:after="80" w:line="290"/>
      </w:pPr>
      <w:r>
        <w:rPr>
          <w:rFonts w:ascii="Arial" w:cs="Arial" w:eastAsia="Arial" w:hAnsi="Arial"/>
          <w:color w:val="3A3A3A"/>
          <w:sz w:val="21"/>
          <w:szCs w:val="21"/>
        </w:rPr>
        <w:t xml:space="preserve">Economic Crime and Corporate Transparency Act 2023</w:t>
      </w:r>
    </w:p>
    <w:p>
      <w:pPr>
        <w:pStyle w:val="ListParagraph"/>
        <w:numPr>
          <w:ilvl w:val="0"/>
          <w:numId w:val="2"/>
        </w:numPr>
        <w:spacing w:after="80" w:line="290"/>
      </w:pPr>
      <w:r>
        <w:rPr>
          <w:rFonts w:ascii="Arial" w:cs="Arial" w:eastAsia="Arial" w:hAnsi="Arial"/>
          <w:color w:val="3A3A3A"/>
          <w:sz w:val="21"/>
          <w:szCs w:val="21"/>
        </w:rPr>
        <w:t xml:space="preserve">Criminal Finances Act 2017</w:t>
      </w:r>
    </w:p>
    <w:p>
      <w:pPr>
        <w:pStyle w:val="ListParagraph"/>
        <w:numPr>
          <w:ilvl w:val="0"/>
          <w:numId w:val="2"/>
        </w:numPr>
        <w:spacing w:after="80" w:line="290"/>
      </w:pPr>
      <w:r>
        <w:rPr>
          <w:rFonts w:ascii="Arial" w:cs="Arial" w:eastAsia="Arial" w:hAnsi="Arial"/>
          <w:color w:val="3A3A3A"/>
          <w:sz w:val="21"/>
          <w:szCs w:val="21"/>
        </w:rPr>
        <w:t xml:space="preserve">Competition Act 1998</w:t>
      </w:r>
    </w:p>
    <w:p>
      <w:pPr>
        <w:pStyle w:val="ListParagraph"/>
        <w:numPr>
          <w:ilvl w:val="0"/>
          <w:numId w:val="2"/>
        </w:numPr>
        <w:spacing w:after="80" w:line="290"/>
      </w:pPr>
      <w:r>
        <w:rPr>
          <w:rFonts w:ascii="Arial" w:cs="Arial" w:eastAsia="Arial" w:hAnsi="Arial"/>
          <w:color w:val="3A3A3A"/>
          <w:sz w:val="21"/>
          <w:szCs w:val="21"/>
        </w:rPr>
        <w:t xml:space="preserve">Modern Slavery Act 2015</w:t>
      </w:r>
    </w:p>
    <w:p>
      <w:pPr>
        <w:pStyle w:val="ListParagraph"/>
        <w:numPr>
          <w:ilvl w:val="0"/>
          <w:numId w:val="2"/>
        </w:numPr>
        <w:spacing w:after="80" w:line="290"/>
      </w:pPr>
      <w:r>
        <w:rPr>
          <w:rFonts w:ascii="Arial" w:cs="Arial" w:eastAsia="Arial" w:hAnsi="Arial"/>
          <w:color w:val="3A3A3A"/>
          <w:sz w:val="21"/>
          <w:szCs w:val="21"/>
        </w:rPr>
        <w:t xml:space="preserve">Equality Act 2010</w:t>
      </w:r>
    </w:p>
    <w:p>
      <w:pPr>
        <w:pStyle w:val="ListParagraph"/>
        <w:numPr>
          <w:ilvl w:val="0"/>
          <w:numId w:val="2"/>
        </w:numPr>
        <w:spacing w:after="80" w:line="290"/>
      </w:pPr>
      <w:r>
        <w:rPr>
          <w:rFonts w:ascii="Arial" w:cs="Arial" w:eastAsia="Arial" w:hAnsi="Arial"/>
          <w:color w:val="3A3A3A"/>
          <w:sz w:val="21"/>
          <w:szCs w:val="21"/>
        </w:rPr>
        <w:t xml:space="preserve">Public Interest Disclosure Act 1998</w:t>
      </w:r>
    </w:p>
    <w:p>
      <w:pPr>
        <w:pStyle w:val="ListParagraph"/>
        <w:numPr>
          <w:ilvl w:val="0"/>
          <w:numId w:val="2"/>
        </w:numPr>
        <w:spacing w:after="80" w:line="290"/>
      </w:pPr>
      <w:r>
        <w:rPr>
          <w:rFonts w:ascii="Arial" w:cs="Arial" w:eastAsia="Arial" w:hAnsi="Arial"/>
          <w:color w:val="3A3A3A"/>
          <w:sz w:val="21"/>
          <w:szCs w:val="21"/>
        </w:rPr>
        <w:t xml:space="preserve">UK GDPR and the Data Protection Act 2018</w:t>
      </w:r>
    </w:p>
    <w:p>
      <w:pPr>
        <w:pStyle w:val="ListParagraph"/>
        <w:numPr>
          <w:ilvl w:val="0"/>
          <w:numId w:val="2"/>
        </w:numPr>
        <w:spacing w:after="80" w:line="290"/>
      </w:pPr>
      <w:r>
        <w:rPr>
          <w:rFonts w:ascii="Arial" w:cs="Arial" w:eastAsia="Arial" w:hAnsi="Arial"/>
          <w:color w:val="3A3A3A"/>
          <w:sz w:val="21"/>
          <w:szCs w:val="21"/>
        </w:rPr>
        <w:t xml:space="preserve">National Minimum Wage Act 1998</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2"/>
            <w:r>
              <w:rPr>
                <w:rFonts w:ascii="Arial" w:cs="Arial" w:eastAsia="Arial" w:hAnsi="Arial"/>
                <w:color w:val="3A3A3A"/>
                <w:sz w:val="21"/>
                <w:szCs w:val="21"/>
                <w:highlight w:val="yellow"/>
              </w:rPr>
              <w:t xml:space="preserve">May 2025</w:t>
            </w:r>
            <w:commentRangeEnd w:id="2"/>
            <w:r>
              <w:commentReference w:id="2"/>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3.0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3"/>
            <w:r>
              <w:rPr>
                <w:rFonts w:ascii="Arial" w:cs="Arial" w:eastAsia="Arial" w:hAnsi="Arial"/>
                <w:color w:val="3A3A3A"/>
                <w:sz w:val="21"/>
                <w:szCs w:val="21"/>
                <w:highlight w:val="yellow"/>
              </w:rPr>
              <w:t xml:space="preserve">July 2026</w:t>
            </w:r>
            <w:commentRangeEnd w:id="3"/>
            <w:r>
              <w:commentReference w:id="3"/>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4.0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Rewritten for a small, sole-Director consultancy. Toolbox talks, car sharing, shareholder and line manager content removed. Legislation and related policies added.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Corporate Responsibility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Corporate Responsibility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