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DESIGN COMPETENCE AND COMPLIANCE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Purpose</w:t>
      </w:r>
    </w:p>
    <w:p>
      <w:pPr>
        <w:spacing w:after="80"/>
      </w:pPr>
      <w:r>
        <w:rPr>
          <w:rFonts w:ascii="Arial" w:cs="Arial" w:eastAsia="Arial" w:hAnsi="Arial"/>
          <w:color w:val="3A3A3A"/>
          <w:sz w:val="21"/>
          <w:szCs w:val="21"/>
        </w:rPr>
        <w:t xml:space="preserve">Section 2: Our Work and Who Does It</w:t>
      </w:r>
    </w:p>
    <w:p>
      <w:pPr>
        <w:spacing w:after="80"/>
      </w:pPr>
      <w:r>
        <w:rPr>
          <w:rFonts w:ascii="Arial" w:cs="Arial" w:eastAsia="Arial" w:hAnsi="Arial"/>
          <w:color w:val="3A3A3A"/>
          <w:sz w:val="21"/>
          <w:szCs w:val="21"/>
        </w:rPr>
        <w:t xml:space="preserve">Section 3: Managing and Recording Competence</w:t>
      </w:r>
    </w:p>
    <w:p>
      <w:pPr>
        <w:spacing w:after="80"/>
      </w:pPr>
      <w:r>
        <w:rPr>
          <w:rFonts w:ascii="Arial" w:cs="Arial" w:eastAsia="Arial" w:hAnsi="Arial"/>
          <w:color w:val="3A3A3A"/>
          <w:sz w:val="21"/>
          <w:szCs w:val="21"/>
        </w:rPr>
        <w:t xml:space="preserve">Section 4: Supervision, Instruction and Information</w:t>
      </w:r>
    </w:p>
    <w:p>
      <w:pPr>
        <w:spacing w:after="80"/>
      </w:pPr>
      <w:r>
        <w:rPr>
          <w:rFonts w:ascii="Arial" w:cs="Arial" w:eastAsia="Arial" w:hAnsi="Arial"/>
          <w:color w:val="3A3A3A"/>
          <w:sz w:val="21"/>
          <w:szCs w:val="21"/>
        </w:rPr>
        <w:t xml:space="preserve">Section 5: Products and Systems We Specify</w:t>
      </w:r>
    </w:p>
    <w:p>
      <w:pPr>
        <w:spacing w:after="80"/>
      </w:pPr>
      <w:r>
        <w:rPr>
          <w:rFonts w:ascii="Arial" w:cs="Arial" w:eastAsia="Arial" w:hAnsi="Arial"/>
          <w:color w:val="3A3A3A"/>
          <w:sz w:val="21"/>
          <w:szCs w:val="21"/>
        </w:rPr>
        <w:t xml:space="preserve">Section 6: Checking Installation</w:t>
      </w:r>
    </w:p>
    <w:p>
      <w:pPr>
        <w:spacing w:after="80"/>
      </w:pPr>
      <w:r>
        <w:rPr>
          <w:rFonts w:ascii="Arial" w:cs="Arial" w:eastAsia="Arial" w:hAnsi="Arial"/>
          <w:color w:val="3A3A3A"/>
          <w:sz w:val="21"/>
          <w:szCs w:val="21"/>
        </w:rPr>
        <w:t xml:space="preserve">Section 7: Keeping Up to Date</w:t>
      </w:r>
    </w:p>
    <w:p>
      <w:pPr>
        <w:spacing w:after="80"/>
      </w:pPr>
      <w:r>
        <w:rPr>
          <w:rFonts w:ascii="Arial" w:cs="Arial" w:eastAsia="Arial" w:hAnsi="Arial"/>
          <w:color w:val="3A3A3A"/>
          <w:sz w:val="21"/>
          <w:szCs w:val="21"/>
        </w:rPr>
        <w:t xml:space="preserve">Section 8: Fire Risk on Our Projects</w:t>
      </w:r>
    </w:p>
    <w:p>
      <w:pPr>
        <w:spacing w:after="80"/>
      </w:pPr>
      <w:r>
        <w:rPr>
          <w:rFonts w:ascii="Arial" w:cs="Arial" w:eastAsia="Arial" w:hAnsi="Arial"/>
          <w:color w:val="3A3A3A"/>
          <w:sz w:val="21"/>
          <w:szCs w:val="21"/>
        </w:rPr>
        <w:t xml:space="preserve">Section 9: Records</w:t>
      </w:r>
    </w:p>
    <w:p>
      <w:pPr>
        <w:spacing w:after="80"/>
      </w:pPr>
      <w:r>
        <w:rPr>
          <w:rFonts w:ascii="Arial" w:cs="Arial" w:eastAsia="Arial" w:hAnsi="Arial"/>
          <w:color w:val="3A3A3A"/>
          <w:sz w:val="21"/>
          <w:szCs w:val="21"/>
        </w:rPr>
        <w:t xml:space="preserve">Section 10: Legislation and Standards</w:t>
      </w:r>
    </w:p>
    <w:p>
      <w:pPr>
        <w:spacing w:after="80"/>
      </w:pPr>
      <w:r>
        <w:rPr>
          <w:rFonts w:ascii="Arial" w:cs="Arial" w:eastAsia="Arial" w:hAnsi="Arial"/>
          <w:color w:val="3A3A3A"/>
          <w:sz w:val="21"/>
          <w:szCs w:val="21"/>
        </w:rPr>
        <w:t xml:space="preserve">Appendix A: Design Check Record</w:t>
      </w:r>
    </w:p>
    <w:p>
      <w:pPr>
        <w:spacing w:after="80"/>
      </w:pPr>
      <w:r>
        <w:rPr>
          <w:rFonts w:ascii="Arial" w:cs="Arial" w:eastAsia="Arial" w:hAnsi="Arial"/>
          <w:color w:val="3A3A3A"/>
          <w:sz w:val="21"/>
          <w:szCs w:val="21"/>
        </w:rPr>
        <w:t xml:space="preserve">Appendix B: Legislation, Standards and Products Update Log</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PURPOSE</w:t>
      </w:r>
    </w:p>
    <w:p>
      <w:pPr>
        <w:spacing w:after="140" w:line="300"/>
      </w:pPr>
      <w:r>
        <w:rPr>
          <w:rFonts w:ascii="Arial" w:cs="Arial" w:eastAsia="Arial" w:hAnsi="Arial"/>
          <w:color w:val="3A3A3A"/>
          <w:sz w:val="21"/>
          <w:szCs w:val="21"/>
        </w:rPr>
        <w:t xml:space="preserve">Part 2A of the Building Regulations 2010, added by the Building Regulations etc. (Amendment) (England) Regulations 2023, places duties on everyone who carries out design work. Designers must be competent for the work they take on, must plan, manage and monitor their design work so that it complies with the Building Regulations, and must make sure the people working for them have the supervision, instruction and information they need.</w:t>
      </w:r>
    </w:p>
    <w:p>
      <w:pPr>
        <w:spacing w:after="140" w:line="300"/>
      </w:pPr>
      <w:r>
        <w:rPr>
          <w:rFonts w:ascii="Arial" w:cs="Arial" w:eastAsia="Arial" w:hAnsi="Arial"/>
          <w:color w:val="3A3A3A"/>
          <w:sz w:val="21"/>
          <w:szCs w:val="21"/>
        </w:rPr>
        <w:t xml:space="preserve">This procedure sets out how ⟦legalName⟧ (⟦short⟧) does that day to day. It covers:</w:t>
      </w:r>
    </w:p>
    <w:p>
      <w:pPr>
        <w:pStyle w:val="ListParagraph"/>
        <w:numPr>
          <w:ilvl w:val="0"/>
          <w:numId w:val="2"/>
        </w:numPr>
        <w:spacing w:after="80" w:line="290"/>
      </w:pPr>
      <w:r>
        <w:rPr>
          <w:rFonts w:ascii="Arial" w:cs="Arial" w:eastAsia="Arial" w:hAnsi="Arial"/>
          <w:color w:val="3A3A3A"/>
          <w:sz w:val="21"/>
          <w:szCs w:val="21"/>
        </w:rPr>
        <w:t xml:space="preserve">how we manage and record competence (Section 3)</w:t>
      </w:r>
    </w:p>
    <w:p>
      <w:pPr>
        <w:pStyle w:val="ListParagraph"/>
        <w:numPr>
          <w:ilvl w:val="0"/>
          <w:numId w:val="2"/>
        </w:numPr>
        <w:spacing w:after="80" w:line="290"/>
      </w:pPr>
      <w:r>
        <w:rPr>
          <w:rFonts w:ascii="Arial" w:cs="Arial" w:eastAsia="Arial" w:hAnsi="Arial"/>
          <w:color w:val="3A3A3A"/>
          <w:sz w:val="21"/>
          <w:szCs w:val="21"/>
        </w:rPr>
        <w:t xml:space="preserve">how design work is supervised, instructed and checked before it is issued (Section 4)</w:t>
      </w:r>
    </w:p>
    <w:p>
      <w:pPr>
        <w:pStyle w:val="ListParagraph"/>
        <w:numPr>
          <w:ilvl w:val="0"/>
          <w:numId w:val="2"/>
        </w:numPr>
        <w:spacing w:after="80" w:line="290"/>
      </w:pPr>
      <w:r>
        <w:rPr>
          <w:rFonts w:ascii="Arial" w:cs="Arial" w:eastAsia="Arial" w:hAnsi="Arial"/>
          <w:color w:val="3A3A3A"/>
          <w:sz w:val="21"/>
          <w:szCs w:val="21"/>
        </w:rPr>
        <w:t xml:space="preserve">how we make sure the products and systems we specify are suitable (Section 5)</w:t>
      </w:r>
    </w:p>
    <w:p>
      <w:pPr>
        <w:pStyle w:val="ListParagraph"/>
        <w:numPr>
          <w:ilvl w:val="0"/>
          <w:numId w:val="2"/>
        </w:numPr>
        <w:spacing w:after="80" w:line="290"/>
      </w:pPr>
      <w:r>
        <w:rPr>
          <w:rFonts w:ascii="Arial" w:cs="Arial" w:eastAsia="Arial" w:hAnsi="Arial"/>
          <w:color w:val="3A3A3A"/>
          <w:sz w:val="21"/>
          <w:szCs w:val="21"/>
        </w:rPr>
        <w:t xml:space="preserve">how installation of our designs is checked (Section 6)</w:t>
      </w:r>
    </w:p>
    <w:p>
      <w:pPr>
        <w:pStyle w:val="ListParagraph"/>
        <w:numPr>
          <w:ilvl w:val="0"/>
          <w:numId w:val="2"/>
        </w:numPr>
        <w:spacing w:after="80" w:line="290"/>
      </w:pPr>
      <w:r>
        <w:rPr>
          <w:rFonts w:ascii="Arial" w:cs="Arial" w:eastAsia="Arial" w:hAnsi="Arial"/>
          <w:color w:val="3A3A3A"/>
          <w:sz w:val="21"/>
          <w:szCs w:val="21"/>
        </w:rPr>
        <w:t xml:space="preserve">how we keep up to date with changes to legislation, standards and products (Section 7)</w:t>
      </w:r>
    </w:p>
    <w:p>
      <w:pPr>
        <w:pStyle w:val="ListParagraph"/>
        <w:numPr>
          <w:ilvl w:val="0"/>
          <w:numId w:val="2"/>
        </w:numPr>
        <w:spacing w:after="80" w:line="290"/>
      </w:pPr>
      <w:r>
        <w:rPr>
          <w:rFonts w:ascii="Arial" w:cs="Arial" w:eastAsia="Arial" w:hAnsi="Arial"/>
          <w:color w:val="3A3A3A"/>
          <w:sz w:val="21"/>
          <w:szCs w:val="21"/>
        </w:rPr>
        <w:t xml:space="preserve">how we assess and manage fire risk on our projects (Section 8)</w:t>
      </w:r>
    </w:p>
    <w:p>
      <w:pPr>
        <w:spacing w:after="140" w:line="300"/>
      </w:pPr>
      <w:r>
        <w:rPr>
          <w:rFonts w:ascii="Arial" w:cs="Arial" w:eastAsia="Arial" w:hAnsi="Arial"/>
          <w:color w:val="3A3A3A"/>
          <w:sz w:val="21"/>
          <w:szCs w:val="21"/>
        </w:rPr>
        <w:t xml:space="preserve">It sits alongside our Quality Assurance, Workforce Competency, Building Regulations Compliance and Building Safety policies.</w:t>
      </w:r>
    </w:p>
    <w:p>
      <w:pPr>
        <w:pStyle w:val="Heading1"/>
        <w:pBdr>
          <w:bottom w:val="single" w:color="9A9A9A" w:sz="4" w:space="4"/>
        </w:pBdr>
        <w:spacing w:after="160" w:before="360"/>
      </w:pPr>
      <w:r>
        <w:rPr>
          <w:rFonts w:ascii="Arial" w:cs="Arial" w:eastAsia="Arial" w:hAnsi="Arial"/>
          <w:b/>
          <w:bCs/>
          <w:color w:val="2E4A5C"/>
          <w:sz w:val="24"/>
          <w:szCs w:val="24"/>
        </w:rPr>
        <w:t xml:space="preserve">SECTION 2: OUR WORK AND WHO DOES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09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Position</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What we design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
            <w:r>
              <w:rPr>
                <w:rFonts w:ascii="Arial" w:cs="Arial" w:eastAsia="Arial" w:hAnsi="Arial"/>
                <w:color w:val="3A3A3A"/>
                <w:sz w:val="21"/>
                <w:szCs w:val="21"/>
                <w:highlight w:val="yellow"/>
              </w:rPr>
              <w:t xml:space="preserve">Intruder alarm, CCTV, access control and door entry systems, and their interfaces with fire alarm systems, door hardware and electrical supplies.</w:t>
            </w:r>
            <w:commentRangeEnd w:id="1"/>
            <w:r>
              <w:commentReference w:id="1"/>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 lead</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2"/>
            <w:r>
              <w:rPr>
                <w:rFonts w:ascii="Arial" w:cs="Arial" w:eastAsia="Arial" w:hAnsi="Arial"/>
                <w:color w:val="3A3A3A"/>
                <w:sz w:val="21"/>
                <w:szCs w:val="21"/>
                <w:highlight w:val="yellow"/>
              </w:rPr>
              <w:t xml:space="preserve">⟦hsLead⟧ MIET MSyI CTSP, Managing Director, leads and approves all design work.</w:t>
            </w:r>
            <w:commentRangeEnd w:id="2"/>
            <w:r>
              <w:commentReference w:id="2"/>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 staff</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⟦seniorStaff⟧, senior designers (job title Associate Director; neither is a company director). Qualifications and experience are on the Training Matrix.</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Sub-consultants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None. ⟦short⟧ carries out all of its design work itself.</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Installation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Carried out by installers appointed by the client or principal contractor, not by ⟦short⟧.</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3: MANAGING AND RECORDING COMPETENCE</w:t>
      </w:r>
    </w:p>
    <w:p>
      <w:pPr>
        <w:spacing w:after="140" w:line="300"/>
      </w:pPr>
      <w:r>
        <w:rPr>
          <w:rFonts w:ascii="Arial" w:cs="Arial" w:eastAsia="Arial" w:hAnsi="Arial"/>
          <w:color w:val="3A3A3A"/>
          <w:sz w:val="21"/>
          <w:szCs w:val="21"/>
        </w:rPr>
        <w:t xml:space="preserve">Competence means having the right skills, knowledge, experience and behaviours for the work. For each person who carries out design work, ⟦short⟧ keeps a competence record made up of:</w:t>
      </w:r>
    </w:p>
    <w:p>
      <w:pPr>
        <w:pStyle w:val="ListParagraph"/>
        <w:numPr>
          <w:ilvl w:val="0"/>
          <w:numId w:val="2"/>
        </w:numPr>
        <w:spacing w:after="80" w:line="290"/>
      </w:pPr>
      <w:r>
        <w:rPr>
          <w:rFonts w:ascii="Arial" w:cs="Arial" w:eastAsia="Arial" w:hAnsi="Arial"/>
          <w:color w:val="3A3A3A"/>
          <w:sz w:val="21"/>
          <w:szCs w:val="21"/>
        </w:rPr>
        <w:t xml:space="preserve">a current CV showing relevant experience</w:t>
      </w:r>
    </w:p>
    <w:p>
      <w:pPr>
        <w:pStyle w:val="ListParagraph"/>
        <w:numPr>
          <w:ilvl w:val="0"/>
          <w:numId w:val="2"/>
        </w:numPr>
        <w:spacing w:after="80" w:line="290"/>
      </w:pPr>
      <w:r>
        <w:rPr>
          <w:rFonts w:ascii="Arial" w:cs="Arial" w:eastAsia="Arial" w:hAnsi="Arial"/>
          <w:color w:val="3A3A3A"/>
          <w:sz w:val="21"/>
          <w:szCs w:val="21"/>
        </w:rPr>
        <w:t xml:space="preserve">copies of qualifications, training certificates and professional memberships</w:t>
      </w:r>
    </w:p>
    <w:p>
      <w:pPr>
        <w:pStyle w:val="ListParagraph"/>
        <w:numPr>
          <w:ilvl w:val="0"/>
          <w:numId w:val="2"/>
        </w:numPr>
        <w:spacing w:after="80" w:line="290"/>
      </w:pPr>
      <w:r>
        <w:rPr>
          <w:rFonts w:ascii="Arial" w:cs="Arial" w:eastAsia="Arial" w:hAnsi="Arial"/>
          <w:color w:val="3A3A3A"/>
          <w:sz w:val="21"/>
          <w:szCs w:val="21"/>
        </w:rPr>
        <w:t xml:space="preserve">an entry on the training matrix showing course dates, expiry dates and CPD</w:t>
      </w:r>
    </w:p>
    <w:p>
      <w:pPr>
        <w:pStyle w:val="ListParagraph"/>
        <w:numPr>
          <w:ilvl w:val="0"/>
          <w:numId w:val="2"/>
        </w:numPr>
        <w:spacing w:after="80" w:line="290"/>
      </w:pPr>
      <w:r>
        <w:rPr>
          <w:rFonts w:ascii="Arial" w:cs="Arial" w:eastAsia="Arial" w:hAnsi="Arial"/>
          <w:color w:val="3A3A3A"/>
          <w:sz w:val="21"/>
          <w:szCs w:val="21"/>
        </w:rPr>
        <w:t xml:space="preserve">the types of work they are signed off to design without supervision, agreed by the Managing Director</w:t>
      </w:r>
    </w:p>
    <w:p>
      <w:pPr>
        <w:pStyle w:val="Heading2"/>
        <w:keepNext/>
        <w:spacing w:after="100" w:before="220"/>
      </w:pPr>
      <w:r>
        <w:rPr>
          <w:rFonts w:ascii="Arial" w:cs="Arial" w:eastAsia="Arial" w:hAnsi="Arial"/>
          <w:b/>
          <w:bCs/>
          <w:color w:val="2E4A5C"/>
          <w:sz w:val="22"/>
          <w:szCs w:val="22"/>
        </w:rPr>
        <w:t xml:space="preserve">Before we accept work</w:t>
      </w:r>
    </w:p>
    <w:p>
      <w:pPr>
        <w:spacing w:after="140" w:line="300"/>
      </w:pPr>
      <w:r>
        <w:rPr>
          <w:rFonts w:ascii="Arial" w:cs="Arial" w:eastAsia="Arial" w:hAnsi="Arial"/>
          <w:color w:val="3A3A3A"/>
          <w:sz w:val="21"/>
          <w:szCs w:val="21"/>
        </w:rPr>
        <w:t xml:space="preserve">Before accepting any appointment, the Managing Director checks the scope against the competence of the team. If the work is outside what ⟦short⟧ can do competently, for example a building type or system we have not designed before, we either arrange the training or support needed before starting, or we decline the work. On higher-risk buildings we confirm in writing to the client that we have the competence for the work, as Part 2A requires.</w:t>
      </w:r>
    </w:p>
    <w:p>
      <w:pPr>
        <w:pStyle w:val="Heading2"/>
        <w:keepNext/>
        <w:spacing w:after="100" w:before="220"/>
      </w:pPr>
      <w:r>
        <w:rPr>
          <w:rFonts w:ascii="Arial" w:cs="Arial" w:eastAsia="Arial" w:hAnsi="Arial"/>
          <w:b/>
          <w:bCs/>
          <w:color w:val="2E4A5C"/>
          <w:sz w:val="22"/>
          <w:szCs w:val="22"/>
        </w:rPr>
        <w:t xml:space="preserve">Keeping competence up to date</w:t>
      </w:r>
    </w:p>
    <w:p>
      <w:pPr>
        <w:pStyle w:val="ListParagraph"/>
        <w:numPr>
          <w:ilvl w:val="0"/>
          <w:numId w:val="2"/>
        </w:numPr>
        <w:spacing w:after="80" w:line="290"/>
      </w:pPr>
      <w:r>
        <w:rPr>
          <w:rFonts w:ascii="Arial" w:cs="Arial" w:eastAsia="Arial" w:hAnsi="Arial"/>
          <w:color w:val="3A3A3A"/>
          <w:sz w:val="21"/>
          <w:szCs w:val="21"/>
        </w:rPr>
        <w:t xml:space="preserve">Training and CPD needs are reviewed for each person every year and recorded on the training matrix.</w:t>
      </w:r>
    </w:p>
    <w:p>
      <w:pPr>
        <w:pStyle w:val="ListParagraph"/>
        <w:numPr>
          <w:ilvl w:val="0"/>
          <w:numId w:val="2"/>
        </w:numPr>
        <w:spacing w:after="80" w:line="290"/>
      </w:pPr>
      <w:r>
        <w:rPr>
          <w:rFonts w:ascii="Arial" w:cs="Arial" w:eastAsia="Arial" w:hAnsi="Arial"/>
          <w:color w:val="3A3A3A"/>
          <w:sz w:val="21"/>
          <w:szCs w:val="21"/>
        </w:rPr>
        <w:t xml:space="preserve">Fire awareness training is refreshed at least every 3 years for everyone who visits site.</w:t>
      </w:r>
    </w:p>
    <w:p>
      <w:pPr>
        <w:pStyle w:val="ListParagraph"/>
        <w:numPr>
          <w:ilvl w:val="0"/>
          <w:numId w:val="2"/>
        </w:numPr>
        <w:spacing w:after="80" w:line="290"/>
      </w:pPr>
      <w:r>
        <w:rPr>
          <w:rFonts w:ascii="Arial" w:cs="Arial" w:eastAsia="Arial" w:hAnsi="Arial"/>
          <w:color w:val="3A3A3A"/>
          <w:sz w:val="21"/>
          <w:szCs w:val="21"/>
        </w:rPr>
        <w:t xml:space="preserve">Changes from Section 7 are briefed to everyone affected.</w:t>
      </w:r>
    </w:p>
    <w:p>
      <w:pPr>
        <w:pStyle w:val="Heading1"/>
        <w:pBdr>
          <w:bottom w:val="single" w:color="9A9A9A" w:sz="4" w:space="4"/>
        </w:pBdr>
        <w:spacing w:after="160" w:before="360"/>
      </w:pPr>
      <w:r>
        <w:rPr>
          <w:rFonts w:ascii="Arial" w:cs="Arial" w:eastAsia="Arial" w:hAnsi="Arial"/>
          <w:b/>
          <w:bCs/>
          <w:color w:val="2E4A5C"/>
          <w:sz w:val="24"/>
          <w:szCs w:val="24"/>
        </w:rPr>
        <w:t xml:space="preserve">SECTION 4: SUPERVISION, INSTRUCTION AND INFORMATION</w:t>
      </w:r>
    </w:p>
    <w:p>
      <w:pPr>
        <w:pStyle w:val="Heading2"/>
        <w:keepNext/>
        <w:spacing w:after="100" w:before="220"/>
      </w:pPr>
      <w:r>
        <w:rPr>
          <w:rFonts w:ascii="Arial" w:cs="Arial" w:eastAsia="Arial" w:hAnsi="Arial"/>
          <w:b/>
          <w:bCs/>
          <w:color w:val="2E4A5C"/>
          <w:sz w:val="22"/>
          <w:szCs w:val="22"/>
        </w:rPr>
        <w:t xml:space="preserve">Instruction at the start of each job</w:t>
      </w:r>
    </w:p>
    <w:p>
      <w:pPr>
        <w:spacing w:after="140" w:line="300"/>
      </w:pPr>
      <w:r>
        <w:rPr>
          <w:rFonts w:ascii="Arial" w:cs="Arial" w:eastAsia="Arial" w:hAnsi="Arial"/>
          <w:color w:val="3A3A3A"/>
          <w:sz w:val="21"/>
          <w:szCs w:val="21"/>
        </w:rPr>
        <w:t xml:space="preserve">Every design starts from a written brief. Before work starts the designer is given:</w:t>
      </w:r>
    </w:p>
    <w:p>
      <w:pPr>
        <w:pStyle w:val="ListParagraph"/>
        <w:numPr>
          <w:ilvl w:val="0"/>
          <w:numId w:val="2"/>
        </w:numPr>
        <w:spacing w:after="80" w:line="290"/>
      </w:pPr>
      <w:r>
        <w:rPr>
          <w:rFonts w:ascii="Arial" w:cs="Arial" w:eastAsia="Arial" w:hAnsi="Arial"/>
          <w:color w:val="3A3A3A"/>
          <w:sz w:val="21"/>
          <w:szCs w:val="21"/>
        </w:rPr>
        <w:t xml:space="preserve">the client's brief and the agreed scope</w:t>
      </w:r>
    </w:p>
    <w:p>
      <w:pPr>
        <w:pStyle w:val="ListParagraph"/>
        <w:numPr>
          <w:ilvl w:val="0"/>
          <w:numId w:val="2"/>
        </w:numPr>
        <w:spacing w:after="80" w:line="290"/>
      </w:pPr>
      <w:r>
        <w:rPr>
          <w:rFonts w:ascii="Arial" w:cs="Arial" w:eastAsia="Arial" w:hAnsi="Arial"/>
          <w:color w:val="3A3A3A"/>
          <w:sz w:val="21"/>
          <w:szCs w:val="21"/>
        </w:rPr>
        <w:t xml:space="preserve">the pre-construction information from the client or principal designer</w:t>
      </w:r>
    </w:p>
    <w:p>
      <w:pPr>
        <w:pStyle w:val="ListParagraph"/>
        <w:numPr>
          <w:ilvl w:val="0"/>
          <w:numId w:val="2"/>
        </w:numPr>
        <w:spacing w:after="80" w:line="290"/>
      </w:pPr>
      <w:r>
        <w:rPr>
          <w:rFonts w:ascii="Arial" w:cs="Arial" w:eastAsia="Arial" w:hAnsi="Arial"/>
          <w:color w:val="3A3A3A"/>
          <w:sz w:val="21"/>
          <w:szCs w:val="21"/>
        </w:rPr>
        <w:t xml:space="preserve">the fire strategy, or the fire alarm cause and effect, where our system interfaces with it</w:t>
      </w:r>
    </w:p>
    <w:p>
      <w:pPr>
        <w:pStyle w:val="ListParagraph"/>
        <w:numPr>
          <w:ilvl w:val="0"/>
          <w:numId w:val="2"/>
        </w:numPr>
        <w:spacing w:after="80" w:line="290"/>
      </w:pPr>
      <w:commentRangeStart w:id="3"/>
      <w:r>
        <w:rPr>
          <w:rFonts w:ascii="Arial" w:cs="Arial" w:eastAsia="Arial" w:hAnsi="Arial"/>
          <w:color w:val="3A3A3A"/>
          <w:sz w:val="21"/>
          <w:szCs w:val="21"/>
          <w:highlight w:val="yellow"/>
        </w:rPr>
        <w:t xml:space="preserve">any site survey findings and the client's site rules</w:t>
      </w:r>
      <w:commentRangeEnd w:id="3"/>
      <w:r>
        <w:commentReference w:id="3"/>
      </w:r>
    </w:p>
    <w:p>
      <w:pPr>
        <w:pStyle w:val="Heading2"/>
        <w:keepNext/>
        <w:spacing w:after="100" w:before="220"/>
      </w:pPr>
      <w:r>
        <w:rPr>
          <w:rFonts w:ascii="Arial" w:cs="Arial" w:eastAsia="Arial" w:hAnsi="Arial"/>
          <w:b/>
          <w:bCs/>
          <w:color w:val="2E4A5C"/>
          <w:sz w:val="22"/>
          <w:szCs w:val="22"/>
        </w:rPr>
        <w:t xml:space="preserve">Supervision</w:t>
      </w:r>
    </w:p>
    <w:p>
      <w:pPr>
        <w:pStyle w:val="ListParagraph"/>
        <w:numPr>
          <w:ilvl w:val="0"/>
          <w:numId w:val="2"/>
        </w:numPr>
        <w:spacing w:after="80" w:line="290"/>
      </w:pPr>
      <w:r>
        <w:rPr>
          <w:rFonts w:ascii="Arial" w:cs="Arial" w:eastAsia="Arial" w:hAnsi="Arial"/>
          <w:color w:val="3A3A3A"/>
          <w:sz w:val="21"/>
          <w:szCs w:val="21"/>
        </w:rPr>
        <w:t xml:space="preserve">Anyone not yet signed off for a type of work prepares it under the direct supervision of the Managing Director, who reviews it at each stage.</w:t>
      </w:r>
    </w:p>
    <w:p>
      <w:pPr>
        <w:pStyle w:val="ListParagraph"/>
        <w:numPr>
          <w:ilvl w:val="0"/>
          <w:numId w:val="2"/>
        </w:numPr>
        <w:spacing w:after="80" w:line="290"/>
      </w:pPr>
      <w:r>
        <w:rPr>
          <w:rFonts w:ascii="Arial" w:cs="Arial" w:eastAsia="Arial" w:hAnsi="Arial"/>
          <w:color w:val="3A3A3A"/>
          <w:sz w:val="21"/>
          <w:szCs w:val="21"/>
        </w:rPr>
        <w:t xml:space="preserve">Nobody works on a type of system or building they are not signed off for without supervision.</w:t>
      </w:r>
    </w:p>
    <w:p>
      <w:pPr>
        <w:pStyle w:val="Heading2"/>
        <w:keepNext/>
        <w:spacing w:after="100" w:before="220"/>
      </w:pPr>
      <w:r>
        <w:rPr>
          <w:rFonts w:ascii="Arial" w:cs="Arial" w:eastAsia="Arial" w:hAnsi="Arial"/>
          <w:b/>
          <w:bCs/>
          <w:color w:val="2E4A5C"/>
          <w:sz w:val="22"/>
          <w:szCs w:val="22"/>
        </w:rPr>
        <w:t xml:space="preserve">Design check before issue</w:t>
      </w:r>
    </w:p>
    <w:p>
      <w:pPr>
        <w:spacing w:after="140" w:line="300"/>
      </w:pPr>
      <w:r>
        <w:rPr>
          <w:rFonts w:ascii="Arial" w:cs="Arial" w:eastAsia="Arial" w:hAnsi="Arial"/>
          <w:color w:val="3A3A3A"/>
          <w:sz w:val="21"/>
          <w:szCs w:val="21"/>
        </w:rPr>
        <w:t xml:space="preserve">No drawing, specification or report leaves ⟦short⟧ until it has been checked and approved by the Managing Director against the Design Check Record at Appendix A. The check confirms the design complies with the Building Regulations and the relevant standards, and is recorded on the drawing issue sheet. Where the Managing Director prepared the design himself, he completes the same check record before issue.</w:t>
      </w:r>
    </w:p>
    <w:p>
      <w:pPr>
        <w:pStyle w:val="Heading2"/>
        <w:keepNext/>
        <w:spacing w:after="100" w:before="220"/>
      </w:pPr>
      <w:r>
        <w:rPr>
          <w:rFonts w:ascii="Arial" w:cs="Arial" w:eastAsia="Arial" w:hAnsi="Arial"/>
          <w:b/>
          <w:bCs/>
          <w:color w:val="2E4A5C"/>
          <w:sz w:val="22"/>
          <w:szCs w:val="22"/>
        </w:rPr>
        <w:t xml:space="preserve">Information for others</w:t>
      </w:r>
    </w:p>
    <w:p>
      <w:pPr>
        <w:spacing w:after="140" w:line="300"/>
      </w:pPr>
      <w:r>
        <w:rPr>
          <w:rFonts w:ascii="Arial" w:cs="Arial" w:eastAsia="Arial" w:hAnsi="Arial"/>
          <w:color w:val="3A3A3A"/>
          <w:sz w:val="21"/>
          <w:szCs w:val="21"/>
        </w:rPr>
        <w:t xml:space="preserve">Every issued design gives the installer and the rest of the project team what they need to build it correctly:</w:t>
      </w:r>
    </w:p>
    <w:p>
      <w:pPr>
        <w:pStyle w:val="ListParagraph"/>
        <w:numPr>
          <w:ilvl w:val="0"/>
          <w:numId w:val="2"/>
        </w:numPr>
        <w:spacing w:after="80" w:line="290"/>
      </w:pPr>
      <w:r>
        <w:rPr>
          <w:rFonts w:ascii="Arial" w:cs="Arial" w:eastAsia="Arial" w:hAnsi="Arial"/>
          <w:color w:val="3A3A3A"/>
          <w:sz w:val="21"/>
          <w:szCs w:val="21"/>
        </w:rPr>
        <w:t xml:space="preserve">drawings and specifications with clear revision status</w:t>
      </w:r>
    </w:p>
    <w:p>
      <w:pPr>
        <w:pStyle w:val="ListParagraph"/>
        <w:numPr>
          <w:ilvl w:val="0"/>
          <w:numId w:val="2"/>
        </w:numPr>
        <w:spacing w:after="80" w:line="290"/>
      </w:pPr>
      <w:commentRangeStart w:id="4"/>
      <w:r>
        <w:rPr>
          <w:rFonts w:ascii="Arial" w:cs="Arial" w:eastAsia="Arial" w:hAnsi="Arial"/>
          <w:color w:val="3A3A3A"/>
          <w:sz w:val="21"/>
          <w:szCs w:val="21"/>
          <w:highlight w:val="yellow"/>
        </w:rPr>
        <w:t xml:space="preserve">the fire alarm interface requirements, including how and when doors release</w:t>
      </w:r>
    </w:p>
    <w:p>
      <w:pPr>
        <w:pStyle w:val="ListParagraph"/>
        <w:numPr>
          <w:ilvl w:val="0"/>
          <w:numId w:val="2"/>
        </w:numPr>
        <w:spacing w:after="80" w:line="290"/>
      </w:pPr>
      <w:r>
        <w:rPr>
          <w:rFonts w:ascii="Arial" w:cs="Arial" w:eastAsia="Arial" w:hAnsi="Arial"/>
          <w:color w:val="3A3A3A"/>
          <w:sz w:val="21"/>
          <w:szCs w:val="21"/>
          <w:highlight w:val="yellow"/>
        </w:rPr>
        <w:t xml:space="preserve">fire-stopping requirements wherever our cabling passes through fire-resisting construction</w:t>
      </w:r>
      <w:commentRangeEnd w:id="4"/>
      <w:r>
        <w:commentReference w:id="4"/>
      </w:r>
    </w:p>
    <w:p>
      <w:pPr>
        <w:pStyle w:val="ListParagraph"/>
        <w:numPr>
          <w:ilvl w:val="0"/>
          <w:numId w:val="2"/>
        </w:numPr>
        <w:spacing w:after="80" w:line="290"/>
      </w:pPr>
      <w:r>
        <w:rPr>
          <w:rFonts w:ascii="Arial" w:cs="Arial" w:eastAsia="Arial" w:hAnsi="Arial"/>
          <w:color w:val="3A3A3A"/>
          <w:sz w:val="21"/>
          <w:szCs w:val="21"/>
        </w:rPr>
        <w:t xml:space="preserve">residual risks, shown on the drawings and in the design risk assessment, passed to the principal designer</w:t>
      </w:r>
    </w:p>
    <w:p>
      <w:pPr>
        <w:pStyle w:val="Heading2"/>
        <w:keepNext/>
        <w:spacing w:after="100" w:before="220"/>
      </w:pPr>
      <w:r>
        <w:rPr>
          <w:rFonts w:ascii="Arial" w:cs="Arial" w:eastAsia="Arial" w:hAnsi="Arial"/>
          <w:b/>
          <w:bCs/>
          <w:color w:val="2E4A5C"/>
          <w:sz w:val="22"/>
          <w:szCs w:val="22"/>
        </w:rPr>
        <w:t xml:space="preserve">Design changes</w:t>
      </w:r>
    </w:p>
    <w:p>
      <w:pPr>
        <w:spacing w:after="140" w:line="300"/>
      </w:pPr>
      <w:r>
        <w:rPr>
          <w:rFonts w:ascii="Arial" w:cs="Arial" w:eastAsia="Arial" w:hAnsi="Arial"/>
          <w:color w:val="3A3A3A"/>
          <w:sz w:val="21"/>
          <w:szCs w:val="21"/>
        </w:rPr>
        <w:t xml:space="preserve">Any change after issue is made by revising the drawing or specification, recording what changed and why, re-checking it against Appendix A and re-issuing it to everyone who received the original. On higher-risk buildings, changes are notified to the principal designer before any work is carried out.</w:t>
      </w:r>
    </w:p>
    <w:p>
      <w:pPr>
        <w:pStyle w:val="Heading1"/>
        <w:pBdr>
          <w:bottom w:val="single" w:color="9A9A9A" w:sz="4" w:space="4"/>
        </w:pBdr>
        <w:spacing w:after="160" w:before="360"/>
      </w:pPr>
      <w:r>
        <w:rPr>
          <w:rFonts w:ascii="Arial" w:cs="Arial" w:eastAsia="Arial" w:hAnsi="Arial"/>
          <w:b/>
          <w:bCs/>
          <w:color w:val="2E4A5C"/>
          <w:sz w:val="24"/>
          <w:szCs w:val="24"/>
        </w:rPr>
        <w:t xml:space="preserve">SECTION 5: PRODUCTS AND SYSTEMS WE SPECIFY</w:t>
      </w:r>
    </w:p>
    <w:p>
      <w:pPr>
        <w:pStyle w:val="ListParagraph"/>
        <w:numPr>
          <w:ilvl w:val="0"/>
          <w:numId w:val="2"/>
        </w:numPr>
        <w:spacing w:after="80" w:line="290"/>
      </w:pPr>
      <w:commentRangeStart w:id="5"/>
      <w:r>
        <w:rPr>
          <w:rFonts w:ascii="Arial" w:cs="Arial" w:eastAsia="Arial" w:hAnsi="Arial"/>
          <w:color w:val="3A3A3A"/>
          <w:sz w:val="21"/>
          <w:szCs w:val="21"/>
          <w:highlight w:val="yellow"/>
        </w:rPr>
        <w:t xml:space="preserve">We specify products that are certified or tested to the relevant standard, for example BS EN 50131 for intruder alarms, BS EN 62676 for CCTV and BS EN 60839-11 for access control.</w:t>
      </w:r>
      <w:commentRangeEnd w:id="5"/>
      <w:r>
        <w:commentReference w:id="5"/>
      </w:r>
    </w:p>
    <w:p>
      <w:pPr>
        <w:pStyle w:val="ListParagraph"/>
        <w:numPr>
          <w:ilvl w:val="0"/>
          <w:numId w:val="2"/>
        </w:numPr>
        <w:spacing w:after="80" w:line="290"/>
      </w:pPr>
      <w:r>
        <w:rPr>
          <w:rFonts w:ascii="Arial" w:cs="Arial" w:eastAsia="Arial" w:hAnsi="Arial"/>
          <w:color w:val="3A3A3A"/>
          <w:sz w:val="21"/>
          <w:szCs w:val="21"/>
        </w:rPr>
        <w:t xml:space="preserve">We specify each product for its intended purpose and within the manufacturer's instructions.</w:t>
      </w:r>
    </w:p>
    <w:p>
      <w:pPr>
        <w:pStyle w:val="ListParagraph"/>
        <w:numPr>
          <w:ilvl w:val="0"/>
          <w:numId w:val="2"/>
        </w:numPr>
        <w:spacing w:after="80" w:line="290"/>
      </w:pPr>
      <w:commentRangeStart w:id="6"/>
      <w:r>
        <w:rPr>
          <w:rFonts w:ascii="Arial" w:cs="Arial" w:eastAsia="Arial" w:hAnsi="Arial"/>
          <w:color w:val="3A3A3A"/>
          <w:sz w:val="21"/>
          <w:szCs w:val="21"/>
          <w:highlight w:val="yellow"/>
        </w:rPr>
        <w:t xml:space="preserve">Our specifications state the grade or classification of the system as a whole, not just the individual products, for example the BS EN 50131 security grade and the BS 7273-4 actuation category for doors released by the fire alarm.</w:t>
      </w:r>
      <w:commentRangeEnd w:id="6"/>
      <w:r>
        <w:commentReference w:id="6"/>
      </w:r>
    </w:p>
    <w:p>
      <w:pPr>
        <w:pStyle w:val="ListParagraph"/>
        <w:numPr>
          <w:ilvl w:val="0"/>
          <w:numId w:val="2"/>
        </w:numPr>
        <w:spacing w:after="80" w:line="290"/>
      </w:pPr>
      <w:r>
        <w:rPr>
          <w:rFonts w:ascii="Arial" w:cs="Arial" w:eastAsia="Arial" w:hAnsi="Arial"/>
          <w:color w:val="3A3A3A"/>
          <w:sz w:val="21"/>
          <w:szCs w:val="21"/>
        </w:rPr>
        <w:t xml:space="preserve">Fire-stopping products are specified with test evidence for the type of wall or floor they are used in.</w:t>
      </w:r>
    </w:p>
    <w:p>
      <w:pPr>
        <w:pStyle w:val="ListParagraph"/>
        <w:numPr>
          <w:ilvl w:val="0"/>
          <w:numId w:val="2"/>
        </w:numPr>
        <w:spacing w:after="80" w:line="290"/>
      </w:pPr>
      <w:r>
        <w:rPr>
          <w:rFonts w:ascii="Arial" w:cs="Arial" w:eastAsia="Arial" w:hAnsi="Arial"/>
          <w:color w:val="3A3A3A"/>
          <w:sz w:val="21"/>
          <w:szCs w:val="21"/>
        </w:rPr>
        <w:t xml:space="preserve">Any product substitution proposed by an installer must be reviewed and accepted in writing by ⟦short⟧ before it is used.</w:t>
      </w:r>
    </w:p>
    <w:p>
      <w:pPr>
        <w:pStyle w:val="ListParagraph"/>
        <w:numPr>
          <w:ilvl w:val="0"/>
          <w:numId w:val="2"/>
        </w:numPr>
        <w:spacing w:after="80" w:line="290"/>
      </w:pPr>
      <w:r>
        <w:rPr>
          <w:rFonts w:ascii="Arial" w:cs="Arial" w:eastAsia="Arial" w:hAnsi="Arial"/>
          <w:color w:val="3A3A3A"/>
          <w:sz w:val="21"/>
          <w:szCs w:val="21"/>
        </w:rPr>
        <w:t xml:space="preserve">We check product safety notices and recalls, and report unsafe products as set out in our Building Safety Defect and Occurrence Reporting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6: CHECKING INSTALLATION</w:t>
      </w:r>
    </w:p>
    <w:p>
      <w:pPr>
        <w:spacing w:after="140" w:line="300"/>
      </w:pPr>
      <w:r>
        <w:rPr>
          <w:rFonts w:ascii="Arial" w:cs="Arial" w:eastAsia="Arial" w:hAnsi="Arial"/>
          <w:color w:val="3A3A3A"/>
          <w:sz w:val="21"/>
          <w:szCs w:val="21"/>
        </w:rPr>
        <w:t xml:space="preserve">⟦short⟧ does not install the systems it designs. To make sure installation matches the design and works safely:</w:t>
      </w:r>
    </w:p>
    <w:p>
      <w:pPr>
        <w:pStyle w:val="ListParagraph"/>
        <w:numPr>
          <w:ilvl w:val="0"/>
          <w:numId w:val="2"/>
        </w:numPr>
        <w:spacing w:after="80" w:line="290"/>
      </w:pPr>
      <w:commentRangeStart w:id="7"/>
      <w:r>
        <w:rPr>
          <w:rFonts w:ascii="Arial" w:cs="Arial" w:eastAsia="Arial" w:hAnsi="Arial"/>
          <w:color w:val="3A3A3A"/>
          <w:sz w:val="21"/>
          <w:szCs w:val="21"/>
          <w:highlight w:val="yellow"/>
        </w:rPr>
        <w:t xml:space="preserve">we recommend that clients appoint installers certified by NSI or SSAIB</w:t>
      </w:r>
      <w:commentRangeEnd w:id="7"/>
      <w:r>
        <w:commentReference w:id="7"/>
      </w:r>
    </w:p>
    <w:p>
      <w:pPr>
        <w:pStyle w:val="ListParagraph"/>
        <w:numPr>
          <w:ilvl w:val="0"/>
          <w:numId w:val="2"/>
        </w:numPr>
        <w:spacing w:after="80" w:line="290"/>
      </w:pPr>
      <w:r>
        <w:rPr>
          <w:rFonts w:ascii="Arial" w:cs="Arial" w:eastAsia="Arial" w:hAnsi="Arial"/>
          <w:color w:val="3A3A3A"/>
          <w:sz w:val="21"/>
          <w:szCs w:val="21"/>
        </w:rPr>
        <w:t xml:space="preserve">we ask for the installer's commissioning certificates and test results, and review them against the design</w:t>
      </w:r>
    </w:p>
    <w:p>
      <w:pPr>
        <w:pStyle w:val="ListParagraph"/>
        <w:numPr>
          <w:ilvl w:val="0"/>
          <w:numId w:val="2"/>
        </w:numPr>
        <w:spacing w:after="80" w:line="290"/>
      </w:pPr>
      <w:commentRangeStart w:id="8"/>
      <w:r>
        <w:rPr>
          <w:rFonts w:ascii="Arial" w:cs="Arial" w:eastAsia="Arial" w:hAnsi="Arial"/>
          <w:color w:val="3A3A3A"/>
          <w:sz w:val="21"/>
          <w:szCs w:val="21"/>
          <w:highlight w:val="yellow"/>
        </w:rPr>
        <w:t xml:space="preserve">where it is in our scope, we attend commissioning to witness the fire alarm interface, including the release of every locked door on an escape route, and record the result</w:t>
      </w:r>
      <w:commentRangeEnd w:id="8"/>
      <w:r>
        <w:commentReference w:id="8"/>
      </w:r>
    </w:p>
    <w:p>
      <w:pPr>
        <w:pStyle w:val="ListParagraph"/>
        <w:numPr>
          <w:ilvl w:val="0"/>
          <w:numId w:val="2"/>
        </w:numPr>
        <w:spacing w:after="80" w:line="290"/>
      </w:pPr>
      <w:r>
        <w:rPr>
          <w:rFonts w:ascii="Arial" w:cs="Arial" w:eastAsia="Arial" w:hAnsi="Arial"/>
          <w:color w:val="3A3A3A"/>
          <w:sz w:val="21"/>
          <w:szCs w:val="21"/>
        </w:rPr>
        <w:t xml:space="preserve">where installation checks are not in our scope, we tell the client and principal contractor in writing that they need a competent person to check and approve the installation, and what should be checked</w:t>
      </w:r>
    </w:p>
    <w:p>
      <w:pPr>
        <w:pStyle w:val="ListParagraph"/>
        <w:numPr>
          <w:ilvl w:val="0"/>
          <w:numId w:val="2"/>
        </w:numPr>
        <w:spacing w:after="80" w:line="290"/>
      </w:pPr>
      <w:r>
        <w:rPr>
          <w:rFonts w:ascii="Arial" w:cs="Arial" w:eastAsia="Arial" w:hAnsi="Arial"/>
          <w:color w:val="3A3A3A"/>
          <w:sz w:val="21"/>
          <w:szCs w:val="21"/>
        </w:rPr>
        <w:t xml:space="preserve">any defect we find is reported under our Building Safety Defect and Occurrence Reporting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7: KEEPING UP TO DATE</w:t>
      </w:r>
    </w:p>
    <w:p>
      <w:pPr>
        <w:spacing w:after="140" w:line="300"/>
      </w:pPr>
      <w:r>
        <w:rPr>
          <w:rFonts w:ascii="Arial" w:cs="Arial" w:eastAsia="Arial" w:hAnsi="Arial"/>
          <w:color w:val="3A3A3A"/>
          <w:sz w:val="21"/>
          <w:szCs w:val="21"/>
        </w:rPr>
        <w:t xml:space="preserve">The Managing Director checks the following sources at least once a month and records anything relevant in the Update Log at Appendix B, with the action taken:</w:t>
      </w:r>
    </w:p>
    <w:p>
      <w:pPr>
        <w:pStyle w:val="ListParagraph"/>
        <w:numPr>
          <w:ilvl w:val="0"/>
          <w:numId w:val="2"/>
        </w:numPr>
        <w:spacing w:after="80" w:line="290"/>
      </w:pPr>
      <w:r>
        <w:rPr>
          <w:rFonts w:ascii="Arial" w:cs="Arial" w:eastAsia="Arial" w:hAnsi="Arial"/>
          <w:color w:val="3A3A3A"/>
          <w:sz w:val="21"/>
          <w:szCs w:val="21"/>
        </w:rPr>
        <w:t xml:space="preserve">GOV.UK and Building Safety Regulator updates on the Building Regulations, the Approved Documents and the Building Safety Act</w:t>
      </w:r>
    </w:p>
    <w:p>
      <w:pPr>
        <w:pStyle w:val="ListParagraph"/>
        <w:numPr>
          <w:ilvl w:val="0"/>
          <w:numId w:val="2"/>
        </w:numPr>
        <w:spacing w:after="80" w:line="290"/>
      </w:pPr>
      <w:r>
        <w:rPr>
          <w:rFonts w:ascii="Arial" w:cs="Arial" w:eastAsia="Arial" w:hAnsi="Arial"/>
          <w:color w:val="3A3A3A"/>
          <w:sz w:val="21"/>
          <w:szCs w:val="21"/>
        </w:rPr>
        <w:t xml:space="preserve">British Standards updates for the standards we design to</w:t>
      </w:r>
    </w:p>
    <w:p>
      <w:pPr>
        <w:pStyle w:val="ListParagraph"/>
        <w:numPr>
          <w:ilvl w:val="0"/>
          <w:numId w:val="2"/>
        </w:numPr>
        <w:spacing w:after="80" w:line="290"/>
      </w:pPr>
      <w:commentRangeStart w:id="9"/>
      <w:r>
        <w:rPr>
          <w:rFonts w:ascii="Arial" w:cs="Arial" w:eastAsia="Arial" w:hAnsi="Arial"/>
          <w:color w:val="3A3A3A"/>
          <w:sz w:val="21"/>
          <w:szCs w:val="21"/>
          <w:highlight w:val="yellow"/>
        </w:rPr>
        <w:t xml:space="preserve">NSI, SSAIB and NPCC security systems guidance</w:t>
      </w:r>
      <w:commentRangeEnd w:id="9"/>
      <w:r>
        <w:commentReference w:id="9"/>
      </w:r>
    </w:p>
    <w:p>
      <w:pPr>
        <w:pStyle w:val="ListParagraph"/>
        <w:numPr>
          <w:ilvl w:val="0"/>
          <w:numId w:val="2"/>
        </w:numPr>
        <w:spacing w:after="80" w:line="290"/>
      </w:pPr>
      <w:r>
        <w:rPr>
          <w:rFonts w:ascii="Arial" w:cs="Arial" w:eastAsia="Arial" w:hAnsi="Arial"/>
          <w:color w:val="3A3A3A"/>
          <w:sz w:val="21"/>
          <w:szCs w:val="21"/>
        </w:rPr>
        <w:t xml:space="preserve">updates and bulletins from our health and safety adviser, Archer Health &amp; Safety</w:t>
      </w:r>
    </w:p>
    <w:p>
      <w:pPr>
        <w:pStyle w:val="ListParagraph"/>
        <w:numPr>
          <w:ilvl w:val="0"/>
          <w:numId w:val="2"/>
        </w:numPr>
        <w:spacing w:after="80" w:line="290"/>
      </w:pPr>
      <w:r>
        <w:rPr>
          <w:rFonts w:ascii="Arial" w:cs="Arial" w:eastAsia="Arial" w:hAnsi="Arial"/>
          <w:color w:val="3A3A3A"/>
          <w:sz w:val="21"/>
          <w:szCs w:val="21"/>
        </w:rPr>
        <w:t xml:space="preserve">manufacturers' technical bulletins and product safety notices</w:t>
      </w:r>
    </w:p>
    <w:p>
      <w:pPr>
        <w:pStyle w:val="ListParagraph"/>
        <w:numPr>
          <w:ilvl w:val="0"/>
          <w:numId w:val="2"/>
        </w:numPr>
        <w:spacing w:after="80" w:line="290"/>
      </w:pPr>
      <w:commentRangeStart w:id="10"/>
      <w:r>
        <w:rPr>
          <w:rFonts w:ascii="Arial" w:cs="Arial" w:eastAsia="Arial" w:hAnsi="Arial"/>
          <w:color w:val="3A3A3A"/>
          <w:sz w:val="21"/>
          <w:szCs w:val="21"/>
          <w:highlight w:val="yellow"/>
        </w:rPr>
        <w:t xml:space="preserve">the Association of Security Consultants (ASC), of which ⟦hsLead⟧ is a member, and the IET (⟦hsLead⟧ MIET)</w:t>
      </w:r>
      <w:commentRangeEnd w:id="10"/>
      <w:r>
        <w:commentReference w:id="10"/>
      </w:r>
    </w:p>
    <w:p>
      <w:pPr>
        <w:spacing w:after="140" w:line="300"/>
      </w:pPr>
      <w:r>
        <w:rPr>
          <w:rFonts w:ascii="Arial" w:cs="Arial" w:eastAsia="Arial" w:hAnsi="Arial"/>
          <w:color w:val="3A3A3A"/>
          <w:sz w:val="21"/>
          <w:szCs w:val="21"/>
        </w:rPr>
        <w:t xml:space="preserve">Changes that affect our work are briefed to everyone affected, and our procedures, templates and checklists are updated. The Update Log is reviewed at the annual team meeting.</w:t>
      </w:r>
    </w:p>
    <w:p>
      <w:pPr>
        <w:pStyle w:val="Heading1"/>
        <w:pBdr>
          <w:bottom w:val="single" w:color="9A9A9A" w:sz="4" w:space="4"/>
        </w:pBdr>
        <w:spacing w:after="160" w:before="360"/>
      </w:pPr>
      <w:r>
        <w:rPr>
          <w:rFonts w:ascii="Arial" w:cs="Arial" w:eastAsia="Arial" w:hAnsi="Arial"/>
          <w:b/>
          <w:bCs/>
          <w:color w:val="2E4A5C"/>
          <w:sz w:val="24"/>
          <w:szCs w:val="24"/>
        </w:rPr>
        <w:t xml:space="preserve">SECTION 8: FIRE RISK ON OUR PROJECTS</w:t>
      </w:r>
    </w:p>
    <w:p>
      <w:pPr>
        <w:spacing w:after="140" w:line="300"/>
      </w:pPr>
      <w:r>
        <w:rPr>
          <w:rFonts w:ascii="Arial" w:cs="Arial" w:eastAsia="Arial" w:hAnsi="Arial"/>
          <w:color w:val="3A3A3A"/>
          <w:sz w:val="21"/>
          <w:szCs w:val="21"/>
        </w:rPr>
        <w:t xml:space="preserve">Our systems can affect fire safety in three main ways: doors that people need to escape through, cables that pass through fire-resisting construction, and equipment that interfaces with fire detection and alarm systems. We manage the risk at each stage of a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Stage</w:t>
            </w:r>
          </w:p>
        </w:tc>
        <w:tc>
          <w:tcPr>
            <w:tcW w:type="dxa" w:w="67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What we do</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Survey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Note the escape routes, fire doors, compartment walls and floors, and the fire alarm system. Staff follow the site's fire procedures and know the nearest exit.</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1"/>
            <w:r>
              <w:rPr>
                <w:rFonts w:ascii="Arial" w:cs="Arial" w:eastAsia="Arial" w:hAnsi="Arial"/>
                <w:color w:val="3A3A3A"/>
                <w:sz w:val="21"/>
                <w:szCs w:val="21"/>
                <w:highlight w:val="yellow"/>
              </w:rPr>
              <w:t xml:space="preserve">Locked doors on escape routes fail safe and release on fire alarm and power failure, to BS 7273-4. Cable routes avoid fire-resisting construction where possible; where they cannot, fire-stopping is specified. Equipment is kept clear of detectors and does not obstruct escape routes. The design is checked against the fire strategy.</w:t>
            </w:r>
            <w:commentRangeEnd w:id="11"/>
            <w:r>
              <w:commentReference w:id="11"/>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 risk assessment</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 risks we cannot design out are recorded in the design risk assessment and passed to the principal designer.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Installation and handover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Commissioning evidence for the fire interface is reviewed or witnessed (Section 6). The client is told in plain language how the doors behave in a fire (see our Building Safety Communication Policy).</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9: RECORDS</w:t>
      </w:r>
    </w:p>
    <w:p>
      <w:pPr>
        <w:spacing w:after="140" w:line="300"/>
      </w:pPr>
      <w:r>
        <w:rPr>
          <w:rFonts w:ascii="Arial" w:cs="Arial" w:eastAsia="Arial" w:hAnsi="Arial"/>
          <w:color w:val="3A3A3A"/>
          <w:sz w:val="21"/>
          <w:szCs w:val="21"/>
        </w:rPr>
        <w:t xml:space="preserve">Competence records, design check records, the Update Log and project records are kept in line with our Information Management Policy, for 15 years from the end of each project.</w:t>
      </w:r>
    </w:p>
    <w:p>
      <w:pPr>
        <w:pStyle w:val="Heading1"/>
        <w:pBdr>
          <w:bottom w:val="single" w:color="9A9A9A" w:sz="4" w:space="4"/>
        </w:pBdr>
        <w:spacing w:after="160" w:before="360"/>
      </w:pPr>
      <w:r>
        <w:rPr>
          <w:rFonts w:ascii="Arial" w:cs="Arial" w:eastAsia="Arial" w:hAnsi="Arial"/>
          <w:b/>
          <w:bCs/>
          <w:color w:val="2E4A5C"/>
          <w:sz w:val="24"/>
          <w:szCs w:val="24"/>
        </w:rPr>
        <w:t xml:space="preserve">SECTION 10: LEGISLATION AND STANDARDS</w:t>
      </w:r>
    </w:p>
    <w:p>
      <w:pPr>
        <w:pStyle w:val="ListParagraph"/>
        <w:numPr>
          <w:ilvl w:val="0"/>
          <w:numId w:val="2"/>
        </w:numPr>
        <w:spacing w:after="80" w:line="290"/>
      </w:pPr>
      <w:r>
        <w:rPr>
          <w:rFonts w:ascii="Arial" w:cs="Arial" w:eastAsia="Arial" w:hAnsi="Arial"/>
          <w:color w:val="3A3A3A"/>
          <w:sz w:val="21"/>
          <w:szCs w:val="21"/>
        </w:rPr>
        <w:t xml:space="preserve">The Building Regulations 2010, Part 2A (dutyholders and competence)</w:t>
      </w:r>
    </w:p>
    <w:p>
      <w:pPr>
        <w:pStyle w:val="ListParagraph"/>
        <w:numPr>
          <w:ilvl w:val="0"/>
          <w:numId w:val="2"/>
        </w:numPr>
        <w:spacing w:after="80" w:line="290"/>
      </w:pPr>
      <w:r>
        <w:rPr>
          <w:rFonts w:ascii="Arial" w:cs="Arial" w:eastAsia="Arial" w:hAnsi="Arial"/>
          <w:color w:val="3A3A3A"/>
          <w:sz w:val="21"/>
          <w:szCs w:val="21"/>
        </w:rPr>
        <w:t xml:space="preserve">Building Safety Act 2022</w:t>
      </w:r>
    </w:p>
    <w:p>
      <w:pPr>
        <w:pStyle w:val="ListParagraph"/>
        <w:numPr>
          <w:ilvl w:val="0"/>
          <w:numId w:val="2"/>
        </w:numPr>
        <w:spacing w:after="80" w:line="290"/>
      </w:pPr>
      <w:r>
        <w:rPr>
          <w:rFonts w:ascii="Arial" w:cs="Arial" w:eastAsia="Arial" w:hAnsi="Arial"/>
          <w:color w:val="3A3A3A"/>
          <w:sz w:val="21"/>
          <w:szCs w:val="21"/>
        </w:rPr>
        <w:t xml:space="preserve">The Construction (Design and Management) Regulations 2015</w:t>
      </w:r>
    </w:p>
    <w:p>
      <w:pPr>
        <w:pStyle w:val="ListParagraph"/>
        <w:numPr>
          <w:ilvl w:val="0"/>
          <w:numId w:val="2"/>
        </w:numPr>
        <w:spacing w:after="80" w:line="290"/>
      </w:pPr>
      <w:r>
        <w:rPr>
          <w:rFonts w:ascii="Arial" w:cs="Arial" w:eastAsia="Arial" w:hAnsi="Arial"/>
          <w:color w:val="3A3A3A"/>
          <w:sz w:val="21"/>
          <w:szCs w:val="21"/>
        </w:rPr>
        <w:t xml:space="preserve">Approved Documents B, M and P</w:t>
      </w:r>
    </w:p>
    <w:p>
      <w:pPr>
        <w:pStyle w:val="ListParagraph"/>
        <w:numPr>
          <w:ilvl w:val="0"/>
          <w:numId w:val="2"/>
        </w:numPr>
        <w:spacing w:after="80" w:line="290"/>
      </w:pPr>
      <w:commentRangeStart w:id="12"/>
      <w:r>
        <w:rPr>
          <w:rFonts w:ascii="Arial" w:cs="Arial" w:eastAsia="Arial" w:hAnsi="Arial"/>
          <w:color w:val="3A3A3A"/>
          <w:sz w:val="21"/>
          <w:szCs w:val="21"/>
          <w:highlight w:val="yellow"/>
        </w:rPr>
        <w:t xml:space="preserve">BS 7273-4, BS EN 50131, BS EN 62676, BS EN 60839-11, BS 8418 and BS 7671</w:t>
      </w:r>
      <w:commentRangeEnd w:id="12"/>
      <w:r>
        <w:commentReference w:id="12"/>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APPENDIX A: DESIGN CHECK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6"/>
        <w:gridCol w:w="4993"/>
        <w:gridCol w:w="1152"/>
        <w:gridCol w:w="2305"/>
      </w:tblGrid>
      <w:tr>
        <w:trPr>
          <w:tblHeader/>
        </w:trPr>
        <w:tc>
          <w:tcPr>
            <w:tcW w:type="dxa" w:w="57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No</w:t>
            </w:r>
          </w:p>
        </w:tc>
        <w:tc>
          <w:tcPr>
            <w:tcW w:type="dxa" w:w="499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Check</w:t>
            </w:r>
          </w:p>
        </w:tc>
        <w:tc>
          <w:tcPr>
            <w:tcW w:type="dxa" w:w="1152"/>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Yes / No / N/A</w:t>
            </w:r>
          </w:p>
        </w:tc>
        <w:tc>
          <w:tcPr>
            <w:tcW w:type="dxa" w:w="230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Comment</w:t>
            </w: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 matches the client's brief and agreed scope</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Pre-construction information and fire strategy reviewed</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3</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3"/>
            <w:r>
              <w:rPr>
                <w:rFonts w:ascii="Arial" w:cs="Arial" w:eastAsia="Arial" w:hAnsi="Arial"/>
                <w:color w:val="3A3A3A"/>
                <w:sz w:val="21"/>
                <w:szCs w:val="21"/>
                <w:highlight w:val="yellow"/>
              </w:rPr>
              <w:t xml:space="preserve">Locked doors on escape routes fail safe and release on fire alarm and power failure (BS 7273-4)</w:t>
            </w:r>
            <w:commentRangeEnd w:id="13"/>
            <w:r>
              <w:commentReference w:id="13"/>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4</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Cable routes through fire-resisting construction identified, with fire-stopping specified</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5</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Equipment does not obstruct escape routes or interfere with fire detection</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6</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Products specified are certified to the relevant standard and used for their intended purpose</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7</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System grade or classification stated in the specification</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8</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Access for maintenance considered and residual risks recorded in the design risk assessment</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9</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Document M considered where the system affects how people use the building</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Drawings and specification carry the correct revision and issue status</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57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11</w:t>
            </w:r>
          </w:p>
        </w:tc>
        <w:tc>
          <w:tcPr>
            <w:tcW w:type="dxa" w:w="49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Information for installers complete (interfaces, fire-stopping, residual risks)</w:t>
            </w:r>
          </w:p>
        </w:tc>
        <w:tc>
          <w:tcPr>
            <w:tcW w:type="dxa" w:w="115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3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Project and drawing numbers</w:t>
            </w:r>
          </w:p>
        </w:tc>
        <w:tc>
          <w:tcPr>
            <w:tcW w:type="dxa" w:w="300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Checked and approved by</w:t>
            </w:r>
          </w:p>
        </w:tc>
        <w:tc>
          <w:tcPr>
            <w:tcW w:type="dxa" w:w="3008"/>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c>
          <w:tcPr>
            <w:tcW w:type="dxa" w:w="30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APPENDIX B: LEGISLATION, STANDARDS AND PRODUCTS UPDATE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888"/>
        <w:gridCol w:w="3249"/>
        <w:gridCol w:w="1445"/>
      </w:tblGrid>
      <w:tr>
        <w:trPr>
          <w:tblHeader/>
        </w:trPr>
        <w:tc>
          <w:tcPr>
            <w:tcW w:type="dxa" w:w="144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2888"/>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Change and source</w:t>
            </w:r>
          </w:p>
        </w:tc>
        <w:tc>
          <w:tcPr>
            <w:tcW w:type="dxa" w:w="324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Effect on ⟦short⟧ and action taken</w:t>
            </w:r>
          </w:p>
        </w:tc>
        <w:tc>
          <w:tcPr>
            <w:tcW w:type="dxa" w:w="144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Briefed to staff</w:t>
            </w:r>
          </w:p>
        </w:tc>
      </w:tr>
      <w:tr>
        <w:trPr>
          <w:tblHeader w:val="false"/>
        </w:trPr>
        <w:tc>
          <w:tcPr>
            <w:tcW w:type="dxa" w:w="144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4"/>
            <w:r>
              <w:rPr>
                <w:rFonts w:ascii="Arial" w:cs="Arial" w:eastAsia="Arial" w:hAnsi="Arial"/>
                <w:color w:val="3A3A3A"/>
                <w:sz w:val="21"/>
                <w:szCs w:val="21"/>
                <w:highlight w:val="yellow"/>
              </w:rPr>
              <w:t xml:space="preserve">13 Oct 2026</w:t>
            </w:r>
            <w:commentRangeEnd w:id="14"/>
            <w:r>
              <w:commentReference w:id="14"/>
            </w:r>
          </w:p>
        </w:tc>
        <w:tc>
          <w:tcPr>
            <w:tcW w:type="dxa" w:w="288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Annual review by Archer Health &amp; Safety: Building Safety Act reporting and communication duties</w:t>
            </w:r>
          </w:p>
        </w:tc>
        <w:tc>
          <w:tcPr>
            <w:tcW w:type="dxa" w:w="324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Defect and Occurrence Reporting Policy and Building Safety Communication Policy issued; this procedure issued</w:t>
            </w:r>
          </w:p>
        </w:tc>
        <w:tc>
          <w:tcPr>
            <w:tcW w:type="dxa" w:w="144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highlight w:val="yellow"/>
                <w:highlightCs w:val="yellow"/>
              </w:rPr>
              <w:t xml:space="preserve">date</w:t>
            </w:r>
          </w:p>
        </w:tc>
      </w:tr>
      <w:tr>
        <w:trPr>
          <w:tblHeader w:val="false"/>
        </w:trPr>
        <w:tc>
          <w:tcPr>
            <w:tcW w:type="dxa" w:w="144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highlight w:val="yellow"/>
                <w:highlightCs w:val="yellow"/>
              </w:rPr>
              <w:t xml:space="preserve"> </w:t>
            </w:r>
          </w:p>
        </w:tc>
        <w:tc>
          <w:tcPr>
            <w:tcW w:type="dxa" w:w="288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324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44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144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highlight w:val="yellow"/>
                <w:highlightCs w:val="yellow"/>
              </w:rPr>
              <w:t xml:space="preserve"> </w:t>
            </w:r>
          </w:p>
        </w:tc>
        <w:tc>
          <w:tcPr>
            <w:tcW w:type="dxa" w:w="288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324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44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144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highlight w:val="yellow"/>
                <w:highlightCs w:val="yellow"/>
              </w:rPr>
              <w:t xml:space="preserve"> </w:t>
            </w:r>
          </w:p>
        </w:tc>
        <w:tc>
          <w:tcPr>
            <w:tcW w:type="dxa" w:w="288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324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44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First issue. Sets out how ⟦short⟧ meets the Part 2A designer duties: competence, supervision and design checks, products, installation checks, keeping up to date and fire risk.</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This was written for a security systems design consultancy. Check it fits ⟦specialism⟧ and rewrite it where it does not.</w:t>
      </w:r>
    </w:p>
  </w:comment>
  <w:comment w:id="5" w:author="AHS Ltd" w:initials="AHS" w:date="2026-10-13T00:00:00Z">
    <w:p>
      <w:r>
        <w:t xml:space="preserve">AHS Ltd review: This was written for a security systems design consultancy. Check it fits ⟦specialism⟧ and rewrite it where it does not.</w:t>
      </w:r>
    </w:p>
  </w:comment>
  <w:comment w:id="6" w:author="AHS Ltd" w:initials="AHS" w:date="2026-10-13T00:00:00Z">
    <w:p>
      <w:r>
        <w:t xml:space="preserve">AHS Ltd review: This was written for a security systems design consultancy. Check it fits ⟦specialism⟧ and rewrite it where it does not.</w:t>
      </w:r>
    </w:p>
  </w:comment>
  <w:comment w:id="7" w:author="AHS Ltd" w:initials="AHS" w:date="2026-10-13T00:00:00Z">
    <w:p>
      <w:r>
        <w:t xml:space="preserve">AHS Ltd review: This was written for a security systems design consultancy. Check it fits ⟦specialism⟧ and rewrite it where it does not.</w:t>
      </w:r>
    </w:p>
  </w:comment>
  <w:comment w:id="8" w:author="AHS Ltd" w:initials="AHS" w:date="2026-10-13T00:00:00Z">
    <w:p>
      <w:r>
        <w:t xml:space="preserve">AHS Ltd review: This was written for a security systems design consultancy. Check it fits ⟦specialism⟧ and rewrite it where it does not.</w:t>
      </w:r>
    </w:p>
  </w:comment>
  <w:comment w:id="9" w:author="AHS Ltd" w:initials="AHS" w:date="2026-10-13T00:00:00Z">
    <w:p>
      <w:r>
        <w:t xml:space="preserve">AHS Ltd review: This was written for a security systems design consultancy. Check it fits ⟦specialism⟧ and rewrite it where it does not.</w:t>
      </w:r>
    </w:p>
  </w:comment>
  <w:comment w:id="10" w:author="AHS Ltd" w:initials="AHS" w:date="2026-10-13T00:00:00Z">
    <w:p>
      <w:r>
        <w:t xml:space="preserve">AHS Ltd review: This was written for a security systems design consultancy. Check it fits ⟦specialism⟧ and rewrite it where it does not.</w:t>
      </w:r>
    </w:p>
  </w:comment>
  <w:comment w:id="11" w:author="AHS Ltd" w:initials="AHS" w:date="2026-10-13T00:00:00Z">
    <w:p>
      <w:r>
        <w:t xml:space="preserve">AHS Ltd review: This was written for a security systems design consultancy. Check it fits ⟦specialism⟧ and rewrite it where it does not.</w:t>
      </w:r>
    </w:p>
  </w:comment>
  <w:comment w:id="12" w:author="AHS Ltd" w:initials="AHS" w:date="2026-10-13T00:00:00Z">
    <w:p>
      <w:r>
        <w:t xml:space="preserve">AHS Ltd review: This was written for a security systems design consultancy. Check it fits ⟦specialism⟧ and rewrite it where it does not.</w:t>
      </w:r>
    </w:p>
  </w:comment>
  <w:comment w:id="13" w:author="AHS Ltd" w:initials="AHS" w:date="2026-10-13T00:00:00Z">
    <w:p>
      <w:r>
        <w:t xml:space="preserve">AHS Ltd review: This was written for a security systems design consultancy. Check it fits ⟦specialism⟧ and rewrite it where it does not.</w:t>
      </w:r>
    </w:p>
  </w:comment>
  <w:comment w:id="1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Design Competence and Compliance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Design Competence and Compliance Procedure</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