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28343" w14:textId="77777777" w:rsidR="000D077A" w:rsidRDefault="000B2C77">
      <w:pPr>
        <w:spacing w:before="400" w:after="260"/>
        <w:jc w:val="center"/>
      </w:pPr>
      <w:r>
        <w:rPr>
          <w:noProof/>
        </w:rPr>
        <w:drawing>
          <wp:inline distT="0" distB="0" distL="0" distR="0" wp14:anchorId="63F2839C" wp14:editId="63F2839D">
            <wp:extent cx="3238500" cy="2943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2943225"/>
                    </a:xfrm>
                    <a:prstGeom prst="rect">
                      <a:avLst/>
                    </a:prstGeom>
                  </pic:spPr>
                </pic:pic>
              </a:graphicData>
            </a:graphic>
          </wp:inline>
        </w:drawing>
      </w:r>
    </w:p>
    <w:p w14:paraId="63F28344" w14:textId="77777777" w:rsidR="000D077A" w:rsidRDefault="000B2C77">
      <w:pPr>
        <w:spacing w:after="700"/>
        <w:jc w:val="center"/>
      </w:pPr>
      <w:r>
        <w:rPr>
          <w:rFonts w:ascii="Aptos Black" w:eastAsia="Aptos Black" w:hAnsi="Aptos Black" w:cs="Aptos Black"/>
          <w:b/>
          <w:bCs/>
          <w:color w:val="000000"/>
          <w:sz w:val="34"/>
          <w:szCs w:val="34"/>
        </w:rPr>
        <w:t>FRAUD PREVENTION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D077A" w14:paraId="63F28347" w14:textId="77777777">
        <w:tblPrEx>
          <w:tblCellMar>
            <w:top w:w="0" w:type="dxa"/>
            <w:bottom w:w="0" w:type="dxa"/>
          </w:tblCellMar>
        </w:tblPrEx>
        <w:tc>
          <w:tcPr>
            <w:tcW w:w="4680" w:type="dxa"/>
            <w:tcMar>
              <w:top w:w="60" w:type="dxa"/>
              <w:left w:w="110" w:type="dxa"/>
              <w:bottom w:w="60" w:type="dxa"/>
              <w:right w:w="110" w:type="dxa"/>
            </w:tcMar>
          </w:tcPr>
          <w:p w14:paraId="63F28345" w14:textId="77777777" w:rsidR="000D077A" w:rsidRDefault="000B2C77">
            <w:pPr>
              <w:spacing w:before="40" w:after="40"/>
            </w:pPr>
            <w:r>
              <w:rPr>
                <w:b/>
                <w:bCs/>
              </w:rPr>
              <w:t>Date</w:t>
            </w:r>
          </w:p>
        </w:tc>
        <w:tc>
          <w:tcPr>
            <w:tcW w:w="4680" w:type="dxa"/>
            <w:tcMar>
              <w:top w:w="60" w:type="dxa"/>
              <w:left w:w="110" w:type="dxa"/>
              <w:bottom w:w="60" w:type="dxa"/>
              <w:right w:w="110" w:type="dxa"/>
            </w:tcMar>
          </w:tcPr>
          <w:p w14:paraId="63F28346" w14:textId="77777777" w:rsidR="000D077A" w:rsidRDefault="000B2C77">
            <w:pPr>
              <w:spacing w:before="40" w:after="40"/>
            </w:pPr>
            <w:r>
              <w:t xml:space="preserve">⟦issueMonth⟧</w:t>
            </w:r>
          </w:p>
        </w:tc>
      </w:tr>
      <w:tr w:rsidR="000D077A" w14:paraId="63F2834A" w14:textId="77777777">
        <w:tblPrEx>
          <w:tblCellMar>
            <w:top w:w="0" w:type="dxa"/>
            <w:bottom w:w="0" w:type="dxa"/>
          </w:tblCellMar>
        </w:tblPrEx>
        <w:tc>
          <w:tcPr>
            <w:tcW w:w="4680" w:type="dxa"/>
            <w:tcMar>
              <w:top w:w="60" w:type="dxa"/>
              <w:left w:w="110" w:type="dxa"/>
              <w:bottom w:w="60" w:type="dxa"/>
              <w:right w:w="110" w:type="dxa"/>
            </w:tcMar>
          </w:tcPr>
          <w:p w14:paraId="63F28348" w14:textId="77777777" w:rsidR="000D077A" w:rsidRDefault="000B2C77">
            <w:pPr>
              <w:spacing w:before="40" w:after="40"/>
            </w:pPr>
            <w:r>
              <w:rPr>
                <w:b/>
                <w:bCs/>
              </w:rPr>
              <w:t>Author</w:t>
            </w:r>
          </w:p>
        </w:tc>
        <w:tc>
          <w:tcPr>
            <w:tcW w:w="4680" w:type="dxa"/>
            <w:tcMar>
              <w:top w:w="60" w:type="dxa"/>
              <w:left w:w="110" w:type="dxa"/>
              <w:bottom w:w="60" w:type="dxa"/>
              <w:right w:w="110" w:type="dxa"/>
            </w:tcMar>
          </w:tcPr>
          <w:p w14:paraId="63F28349" w14:textId="77777777" w:rsidR="000D077A" w:rsidRDefault="000B2C77">
            <w:pPr>
              <w:spacing w:before="40" w:after="40"/>
            </w:pPr>
            <w:r>
              <w:t>Simon Archer</w:t>
            </w:r>
          </w:p>
        </w:tc>
      </w:tr>
      <w:tr w:rsidR="000D077A" w14:paraId="63F2834D" w14:textId="77777777">
        <w:tblPrEx>
          <w:tblCellMar>
            <w:top w:w="0" w:type="dxa"/>
            <w:bottom w:w="0" w:type="dxa"/>
          </w:tblCellMar>
        </w:tblPrEx>
        <w:tc>
          <w:tcPr>
            <w:tcW w:w="4680" w:type="dxa"/>
            <w:tcMar>
              <w:top w:w="60" w:type="dxa"/>
              <w:left w:w="110" w:type="dxa"/>
              <w:bottom w:w="60" w:type="dxa"/>
              <w:right w:w="110" w:type="dxa"/>
            </w:tcMar>
          </w:tcPr>
          <w:p w14:paraId="63F2834B" w14:textId="77777777" w:rsidR="000D077A" w:rsidRDefault="000B2C77">
            <w:pPr>
              <w:spacing w:before="40" w:after="40"/>
            </w:pPr>
            <w:r>
              <w:rPr>
                <w:b/>
                <w:bCs/>
              </w:rPr>
              <w:t>Review Date</w:t>
            </w:r>
          </w:p>
        </w:tc>
        <w:tc>
          <w:tcPr>
            <w:tcW w:w="4680" w:type="dxa"/>
            <w:tcMar>
              <w:top w:w="60" w:type="dxa"/>
              <w:left w:w="110" w:type="dxa"/>
              <w:bottom w:w="60" w:type="dxa"/>
              <w:right w:w="110" w:type="dxa"/>
            </w:tcMar>
          </w:tcPr>
          <w:p w14:paraId="63F2834C" w14:textId="77777777" w:rsidR="000D077A" w:rsidRDefault="000B2C77">
            <w:pPr>
              <w:spacing w:before="40" w:after="40"/>
            </w:pPr>
            <w:r>
              <w:t xml:space="preserve">⟦reviewMonth⟧</w:t>
            </w:r>
          </w:p>
        </w:tc>
      </w:tr>
    </w:tbl>
    <w:p w14:paraId="63F2834E" w14:textId="77777777" w:rsidR="000D077A" w:rsidRDefault="000D077A">
      <w:pPr>
        <w:spacing w:after="1400"/>
      </w:pPr>
    </w:p>
    <w:p w14:paraId="54DF8EF1" w14:textId="77777777" w:rsidR="00712914" w:rsidRDefault="00712914">
      <w:pPr>
        <w:spacing w:after="1400"/>
      </w:pPr>
    </w:p>
    <w:p w14:paraId="64618AAD" w14:textId="77777777" w:rsidR="00712914" w:rsidRDefault="00712914">
      <w:pPr>
        <w:spacing w:after="1400"/>
      </w:pPr>
    </w:p>
    <w:p w14:paraId="63F2834F" w14:textId="77777777" w:rsidR="000D077A" w:rsidRDefault="000B2C77">
      <w:pPr>
        <w:spacing w:after="200"/>
        <w:jc w:val="center"/>
      </w:pPr>
      <w:r>
        <w:rPr>
          <w:noProof/>
        </w:rPr>
        <w:drawing>
          <wp:inline distT="0" distB="0" distL="0" distR="0" wp14:anchorId="63F2839E" wp14:editId="63F2839F">
            <wp:extent cx="514350" cy="466725"/>
            <wp:effectExtent l="0" t="0" r="0" b="0"/>
            <wp:docPr id="1483913139" name="Picture 1483913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 cy="466725"/>
                    </a:xfrm>
                    <a:prstGeom prst="rect">
                      <a:avLst/>
                    </a:prstGeom>
                  </pic:spPr>
                </pic:pic>
              </a:graphicData>
            </a:graphic>
          </wp:inline>
        </w:drawing>
      </w:r>
    </w:p>
    <w:p w14:paraId="63F28350" w14:textId="77777777" w:rsidR="000D077A" w:rsidRDefault="000B2C77">
      <w:pPr>
        <w:shd w:val="clear" w:color="auto" w:fill="1B1B1B"/>
        <w:spacing w:before="200" w:after="200"/>
        <w:jc w:val="center"/>
      </w:pPr>
      <w:r>
        <w:rPr>
          <w:color w:val="FFFFFF"/>
        </w:rPr>
        <w:t>⟦legalName⟧</w:t>
      </w:r>
    </w:p>
    <w:p w14:paraId="63F28351" w14:textId="0D11FA73" w:rsidR="000D077A" w:rsidRDefault="000D077A"/>
    <w:p w14:paraId="63F28352" w14:textId="77777777" w:rsidR="000D077A" w:rsidRDefault="000B2C77">
      <w:pPr>
        <w:spacing w:after="200"/>
      </w:pPr>
      <w:r>
        <w:rPr>
          <w:rFonts w:ascii="Calibri" w:eastAsia="Calibri" w:hAnsi="Calibri" w:cs="Calibri"/>
          <w:b/>
          <w:bCs/>
          <w:sz w:val="26"/>
          <w:szCs w:val="26"/>
        </w:rPr>
        <w:t>Contents</w:t>
      </w:r>
    </w:p>
    <w:sdt>
      <w:sdtPr>
        <w:alias w:val="Contents"/>
        <w:id w:val="-261456491"/>
      </w:sdtPr>
      <w:sdtEndPr/>
      <w:sdtContent>
        <w:p w14:paraId="470A92CF" w14:textId="0C2182CE" w:rsidR="00712914" w:rsidRDefault="000B2C77">
          <w:pPr>
            <w:pStyle w:val="TOC1"/>
            <w:tabs>
              <w:tab w:val="right" w:leader="dot" w:pos="9736"/>
            </w:tabs>
            <w:rPr>
              <w:noProof/>
            </w:rPr>
          </w:pPr>
          <w:r>
            <w:fldChar w:fldCharType="begin"/>
            <w:instrText>TOC \h \o "1-3"</w:instrText>
            <w:fldChar w:fldCharType="separate"/>
          </w:r>
          <w:hyperlink w:anchor="_Toc237951125" w:history="1">
            <w:r>
              <w:rPr>
                <w:rStyle w:val="Hyperlink"/>
                <w:noProof/>
              </w:rPr>
              <w:t>1. Policy Statement</w:t>
            </w:r>
            <w:r>
              <w:rPr>
                <w:noProof/>
              </w:rPr>
              <w:tab/>
              <w:fldChar w:fldCharType="begin"/>
              <w:instrText xml:space="preserve"> PAGEREF _Toc237951125 \h </w:instrText>
              <w:fldChar w:fldCharType="separate"/>
              <w:t>1</w:t>
              <w:fldChar w:fldCharType="end"/>
            </w:r>
          </w:hyperlink>
        </w:p>
        <w:p w14:paraId="7BAED926" w14:textId="3504122A" w:rsidR="00712914" w:rsidRDefault="00712914">
          <w:pPr>
            <w:pStyle w:val="TOC1"/>
            <w:tabs>
              <w:tab w:val="right" w:leader="dot" w:pos="9736"/>
            </w:tabs>
            <w:rPr>
              <w:noProof/>
            </w:rPr>
          </w:pPr>
          <w:hyperlink w:anchor="_Toc237951126" w:history="1">
            <w:r>
              <w:rPr>
                <w:rStyle w:val="Hyperlink"/>
                <w:noProof/>
              </w:rPr>
              <w:t>2. Who and what it covers</w:t>
            </w:r>
            <w:r>
              <w:rPr>
                <w:noProof/>
              </w:rPr>
              <w:tab/>
              <w:fldChar w:fldCharType="begin"/>
              <w:instrText xml:space="preserve"> PAGEREF _Toc237951126 \h </w:instrText>
              <w:fldChar w:fldCharType="separate"/>
              <w:t>1</w:t>
              <w:fldChar w:fldCharType="end"/>
            </w:r>
          </w:hyperlink>
        </w:p>
        <w:p w14:paraId="7DCD91B8" w14:textId="55923FB0" w:rsidR="00712914" w:rsidRDefault="00712914">
          <w:pPr>
            <w:pStyle w:val="TOC1"/>
            <w:tabs>
              <w:tab w:val="right" w:leader="dot" w:pos="9736"/>
            </w:tabs>
            <w:rPr>
              <w:noProof/>
            </w:rPr>
          </w:pPr>
          <w:hyperlink w:anchor="_Toc237951127" w:history="1">
            <w:r>
              <w:rPr>
                <w:rStyle w:val="Hyperlink"/>
                <w:noProof/>
              </w:rPr>
              <w:t>3. What we mean by fraud</w:t>
            </w:r>
            <w:r>
              <w:rPr>
                <w:noProof/>
              </w:rPr>
              <w:tab/>
              <w:fldChar w:fldCharType="begin"/>
              <w:instrText xml:space="preserve"> PAGEREF _Toc237951127 \h </w:instrText>
              <w:fldChar w:fldCharType="separate"/>
              <w:t>1</w:t>
              <w:fldChar w:fldCharType="end"/>
            </w:r>
          </w:hyperlink>
        </w:p>
        <w:p w14:paraId="525C370E" w14:textId="75564307" w:rsidR="00712914" w:rsidRDefault="00712914">
          <w:pPr>
            <w:pStyle w:val="TOC1"/>
            <w:tabs>
              <w:tab w:val="right" w:leader="dot" w:pos="9736"/>
            </w:tabs>
            <w:rPr>
              <w:noProof/>
            </w:rPr>
          </w:pPr>
          <w:hyperlink w:anchor="_Toc237951128" w:history="1">
            <w:r>
              <w:rPr>
                <w:rStyle w:val="Hyperlink"/>
                <w:noProof/>
              </w:rPr>
              <w:t>4. Failing to prevent fraud</w:t>
            </w:r>
            <w:r>
              <w:rPr>
                <w:noProof/>
              </w:rPr>
              <w:tab/>
              <w:fldChar w:fldCharType="begin"/>
              <w:instrText xml:space="preserve"> PAGEREF _Toc237951128 \h </w:instrText>
              <w:fldChar w:fldCharType="separate"/>
              <w:t>1</w:t>
              <w:fldChar w:fldCharType="end"/>
            </w:r>
          </w:hyperlink>
        </w:p>
        <w:p w14:paraId="36B8EDA0" w14:textId="53A797D6" w:rsidR="00712914" w:rsidRDefault="00712914">
          <w:pPr>
            <w:pStyle w:val="TOC1"/>
            <w:tabs>
              <w:tab w:val="right" w:leader="dot" w:pos="9736"/>
            </w:tabs>
            <w:rPr>
              <w:noProof/>
            </w:rPr>
          </w:pPr>
          <w:hyperlink w:anchor="_Toc237951129" w:history="1">
            <w:r>
              <w:rPr>
                <w:rStyle w:val="Hyperlink"/>
                <w:noProof/>
              </w:rPr>
              <w:t>5. What we actually do</w:t>
            </w:r>
            <w:r>
              <w:rPr>
                <w:noProof/>
              </w:rPr>
              <w:tab/>
              <w:fldChar w:fldCharType="begin"/>
              <w:instrText xml:space="preserve"> PAGEREF _Toc237951129 \h </w:instrText>
              <w:fldChar w:fldCharType="separate"/>
              <w:t>1</w:t>
              <w:fldChar w:fldCharType="end"/>
            </w:r>
          </w:hyperlink>
        </w:p>
        <w:p w14:paraId="6F80EF49" w14:textId="3B0D49C5" w:rsidR="00712914" w:rsidRDefault="00712914">
          <w:pPr>
            <w:pStyle w:val="TOC1"/>
            <w:tabs>
              <w:tab w:val="right" w:leader="dot" w:pos="9736"/>
            </w:tabs>
            <w:rPr>
              <w:noProof/>
            </w:rPr>
          </w:pPr>
          <w:hyperlink w:anchor="_Toc237951130" w:history="1">
            <w:r>
              <w:rPr>
                <w:rStyle w:val="Hyperlink"/>
                <w:noProof/>
              </w:rPr>
              <w:t>6. Preventing the facilitation of tax evasion</w:t>
            </w:r>
            <w:r>
              <w:rPr>
                <w:noProof/>
              </w:rPr>
              <w:tab/>
              <w:fldChar w:fldCharType="begin"/>
              <w:instrText xml:space="preserve"> PAGEREF _Toc237951130 \h </w:instrText>
              <w:fldChar w:fldCharType="separate"/>
              <w:t>1</w:t>
              <w:fldChar w:fldCharType="end"/>
            </w:r>
          </w:hyperlink>
        </w:p>
        <w:p w14:paraId="4068AD65" w14:textId="675E5668" w:rsidR="00712914" w:rsidRDefault="00712914">
          <w:pPr>
            <w:pStyle w:val="TOC1"/>
            <w:tabs>
              <w:tab w:val="right" w:leader="dot" w:pos="9736"/>
            </w:tabs>
            <w:rPr>
              <w:noProof/>
            </w:rPr>
          </w:pPr>
          <w:hyperlink w:anchor="_Toc237951131" w:history="1">
            <w:r>
              <w:rPr>
                <w:rStyle w:val="Hyperlink"/>
                <w:noProof/>
              </w:rPr>
              <w:t>7. Due diligence</w:t>
            </w:r>
            <w:r>
              <w:rPr>
                <w:noProof/>
              </w:rPr>
              <w:tab/>
              <w:fldChar w:fldCharType="begin"/>
              <w:instrText xml:space="preserve"> PAGEREF _Toc237951131 \h </w:instrText>
              <w:fldChar w:fldCharType="separate"/>
              <w:t>1</w:t>
              <w:fldChar w:fldCharType="end"/>
            </w:r>
          </w:hyperlink>
        </w:p>
        <w:p w14:paraId="0AD0C87F" w14:textId="2A1A298A" w:rsidR="00712914" w:rsidRDefault="00712914">
          <w:pPr>
            <w:pStyle w:val="TOC1"/>
            <w:tabs>
              <w:tab w:val="right" w:leader="dot" w:pos="9736"/>
            </w:tabs>
            <w:rPr>
              <w:noProof/>
            </w:rPr>
          </w:pPr>
          <w:hyperlink w:anchor="_Toc237951132" w:history="1">
            <w:r>
              <w:rPr>
                <w:rStyle w:val="Hyperlink"/>
                <w:noProof/>
              </w:rPr>
              <w:t>8. Communication, training and review</w:t>
            </w:r>
            <w:r>
              <w:rPr>
                <w:noProof/>
              </w:rPr>
              <w:tab/>
              <w:fldChar w:fldCharType="begin"/>
              <w:instrText xml:space="preserve"> PAGEREF _Toc237951132 \h </w:instrText>
              <w:fldChar w:fldCharType="separate"/>
              <w:t>1</w:t>
              <w:fldChar w:fldCharType="end"/>
            </w:r>
          </w:hyperlink>
        </w:p>
        <w:p w14:paraId="06A86A96" w14:textId="6686FAA3" w:rsidR="00712914" w:rsidRDefault="00712914">
          <w:pPr>
            <w:pStyle w:val="TOC1"/>
            <w:tabs>
              <w:tab w:val="right" w:leader="dot" w:pos="9736"/>
            </w:tabs>
            <w:rPr>
              <w:noProof/>
            </w:rPr>
          </w:pPr>
          <w:hyperlink w:anchor="_Toc237951133" w:history="1">
            <w:r>
              <w:rPr>
                <w:rStyle w:val="Hyperlink"/>
                <w:noProof/>
              </w:rPr>
              <w:t>9. Reporting fraud</w:t>
            </w:r>
            <w:r>
              <w:rPr>
                <w:noProof/>
              </w:rPr>
              <w:tab/>
              <w:fldChar w:fldCharType="begin"/>
              <w:instrText xml:space="preserve"> PAGEREF _Toc237951133 \h </w:instrText>
              <w:fldChar w:fldCharType="separate"/>
              <w:t>1</w:t>
              <w:fldChar w:fldCharType="end"/>
            </w:r>
          </w:hyperlink>
        </w:p>
        <w:p w14:paraId="060DA3AF" w14:textId="2D3159F1" w:rsidR="00712914" w:rsidRDefault="00712914">
          <w:pPr>
            <w:pStyle w:val="TOC1"/>
            <w:tabs>
              <w:tab w:val="right" w:leader="dot" w:pos="9736"/>
            </w:tabs>
            <w:rPr>
              <w:noProof/>
            </w:rPr>
          </w:pPr>
          <w:hyperlink w:anchor="_Toc237951134" w:history="1">
            <w:r>
              <w:rPr>
                <w:rStyle w:val="Hyperlink"/>
                <w:noProof/>
              </w:rPr>
              <w:t>10. Responsibilities</w:t>
            </w:r>
            <w:r>
              <w:rPr>
                <w:noProof/>
              </w:rPr>
              <w:tab/>
              <w:fldChar w:fldCharType="begin"/>
              <w:instrText xml:space="preserve"> PAGEREF _Toc237951134 \h </w:instrText>
              <w:fldChar w:fldCharType="separate"/>
              <w:t>1</w:t>
              <w:fldChar w:fldCharType="end"/>
            </w:r>
          </w:hyperlink>
        </w:p>
        <w:p w14:paraId="544D23F9" w14:textId="0D26C200" w:rsidR="00712914" w:rsidRDefault="00712914">
          <w:pPr>
            <w:pStyle w:val="TOC1"/>
            <w:tabs>
              <w:tab w:val="right" w:leader="dot" w:pos="9736"/>
            </w:tabs>
            <w:rPr>
              <w:noProof/>
            </w:rPr>
          </w:pPr>
          <w:hyperlink w:anchor="_Toc237951135" w:history="1">
            <w:r>
              <w:rPr>
                <w:rStyle w:val="Hyperlink"/>
                <w:noProof/>
              </w:rPr>
              <w:t>11. The law behind this policy</w:t>
            </w:r>
            <w:r>
              <w:rPr>
                <w:noProof/>
              </w:rPr>
              <w:tab/>
              <w:fldChar w:fldCharType="begin"/>
              <w:instrText xml:space="preserve"> PAGEREF _Toc237951135 \h </w:instrText>
              <w:fldChar w:fldCharType="separate"/>
              <w:t>1</w:t>
              <w:fldChar w:fldCharType="end"/>
            </w:r>
          </w:hyperlink>
        </w:p>
        <w:p w14:paraId="2E69F886" w14:textId="02D931C2" w:rsidR="00712914" w:rsidRDefault="00712914">
          <w:pPr>
            <w:pStyle w:val="TOC1"/>
            <w:tabs>
              <w:tab w:val="right" w:leader="dot" w:pos="9736"/>
            </w:tabs>
            <w:rPr>
              <w:noProof/>
            </w:rPr>
          </w:pPr>
          <w:hyperlink w:anchor="_Toc237951136" w:history="1">
            <w:r>
              <w:rPr>
                <w:rStyle w:val="Hyperlink"/>
                <w:noProof/>
              </w:rPr>
              <w:t>12. Policy review and updates</w:t>
            </w:r>
            <w:r>
              <w:rPr>
                <w:noProof/>
              </w:rPr>
              <w:tab/>
              <w:fldChar w:fldCharType="begin"/>
              <w:instrText xml:space="preserve"> PAGEREF _Toc237951136 \h </w:instrText>
              <w:fldChar w:fldCharType="separate"/>
              <w:t>1</w:t>
              <w:fldChar w:fldCharType="end"/>
            </w:r>
          </w:hyperlink>
        </w:p>
        <w:p w14:paraId="63F28354" w14:textId="32700A31" w:rsidR="000D077A" w:rsidRDefault="000B2C77">
          <w:r>
            <w:fldChar w:fldCharType="end"/>
          </w:r>
        </w:p>
      </w:sdtContent>
    </w:sdt>
    <w:p w14:paraId="63F28355" w14:textId="77777777" w:rsidR="000D077A" w:rsidRDefault="000B2C77">
      <w:r>
        <w:br w:type="page"/>
      </w:r>
    </w:p>
    <w:p w14:paraId="63F28356" w14:textId="77777777" w:rsidR="000D077A" w:rsidRDefault="000B2C77">
      <w:pPr>
        <w:pStyle w:val="Heading1"/>
        <w:spacing w:before="280" w:after="100"/>
      </w:pPr>
      <w:bookmarkStart w:id="0" w:name="_Toc237951125"/>
      <w:r>
        <w:rPr>
          <w:sz w:val="28"/>
          <w:szCs w:val="28"/>
        </w:rPr>
        <w:lastRenderedPageBreak/>
        <w:t>1. Policy Statement</w:t>
      </w:r>
      <w:bookmarkEnd w:id="0"/>
    </w:p>
    <w:p w14:paraId="63F28357" w14:textId="77777777" w:rsidR="000D077A" w:rsidRDefault="000B2C77">
      <w:pPr>
        <w:spacing w:after="140" w:line="264" w:lineRule="auto"/>
      </w:pPr>
      <w:r>
        <w:rPr>
          <w:color w:val="000000"/>
        </w:rPr>
        <w:t xml:space="preserve">⟦legalName⟧ (⟦short⟧) has no tolerance for fraud, whoever is behind it, whether that is a member of staff, a supplier or a client. We aim to make fraud hard to commit and easy to spot.</w:t>
      </w:r>
    </w:p>
    <w:p w14:paraId="63F28358" w14:textId="77777777" w:rsidR="000D077A" w:rsidRDefault="000B2C77">
      <w:pPr>
        <w:spacing w:after="140" w:line="264" w:lineRule="auto"/>
      </w:pPr>
      <w:r>
        <w:rPr>
          <w:color w:val="000000"/>
        </w:rPr>
        <w:t>The same goes for tax. We will not help anyone evade it and we will not turn a blind eye to anyone trying to, which is dealt with at sections 6 to 8.</w:t>
      </w:r>
    </w:p>
    <w:p w14:paraId="63F28359" w14:textId="77777777" w:rsidR="000D077A" w:rsidRDefault="000B2C77">
      <w:pPr>
        <w:pStyle w:val="Heading1"/>
        <w:spacing w:before="280" w:after="100"/>
      </w:pPr>
      <w:bookmarkStart w:id="1" w:name="_Toc237951126"/>
      <w:r>
        <w:rPr>
          <w:sz w:val="28"/>
          <w:szCs w:val="28"/>
        </w:rPr>
        <w:t>2. Who and what it covers</w:t>
      </w:r>
      <w:bookmarkEnd w:id="1"/>
    </w:p>
    <w:p w14:paraId="63F2835A" w14:textId="77777777" w:rsidR="000D077A" w:rsidRDefault="000B2C77">
      <w:pPr>
        <w:spacing w:after="140" w:line="264" w:lineRule="auto"/>
      </w:pPr>
      <w:r>
        <w:rPr>
          <w:color w:val="000000"/>
        </w:rPr>
        <w:t xml:space="preserve">It applies to all staff, the Managing Director and anyone acting for us.</w:t>
      </w:r>
    </w:p>
    <w:p w14:paraId="63F2835B" w14:textId="77777777" w:rsidR="000D077A" w:rsidRDefault="000B2C77">
      <w:pPr>
        <w:pStyle w:val="Heading1"/>
        <w:spacing w:before="280" w:after="100"/>
      </w:pPr>
      <w:bookmarkStart w:id="2" w:name="_Toc237951127"/>
      <w:r>
        <w:rPr>
          <w:sz w:val="28"/>
          <w:szCs w:val="28"/>
        </w:rPr>
        <w:t>3. What we mean by fraud</w:t>
      </w:r>
      <w:bookmarkEnd w:id="2"/>
    </w:p>
    <w:p w14:paraId="63F2835C" w14:textId="77777777" w:rsidR="000D077A" w:rsidRDefault="000B2C77">
      <w:pPr>
        <w:spacing w:after="140" w:line="264" w:lineRule="auto"/>
      </w:pPr>
      <w:r>
        <w:rPr>
          <w:color w:val="000000"/>
        </w:rPr>
        <w:t>Fraud is dishonesty aimed at making a gain or causing someone a loss. Under the Fraud Act 2006 that includes lying to get something, hiding information you are supposed to share, and abusing a position of trust.</w:t>
      </w:r>
    </w:p>
    <w:p w14:paraId="63F2835D" w14:textId="77777777" w:rsidR="000D077A" w:rsidRDefault="000B2C77">
      <w:pPr>
        <w:pStyle w:val="Heading1"/>
        <w:spacing w:before="280" w:after="100"/>
      </w:pPr>
      <w:bookmarkStart w:id="3" w:name="_Toc237951128"/>
      <w:r>
        <w:rPr>
          <w:sz w:val="28"/>
          <w:szCs w:val="28"/>
        </w:rPr>
        <w:t>4. Failing to prevent fraud</w:t>
      </w:r>
      <w:bookmarkEnd w:id="3"/>
    </w:p>
    <w:p w14:paraId="63F2835E" w14:textId="77777777" w:rsidR="000D077A" w:rsidRDefault="000B2C77">
      <w:pPr>
        <w:spacing w:after="140" w:line="264" w:lineRule="auto"/>
      </w:pPr>
      <w:commentRangeStart w:id="1"/>
      <w:r>
        <w:rPr>
          <w:color w:val="000000"/>
          <w:highlight w:val="yellow"/>
        </w:rPr>
        <w:t>The Economic Crime and Corporate Transparency Act 2023 created a new offence of failing to prevent fraud, which took effect on 1 September 2025. It applies to large organisations, and ⟦short⟧ sits below that threshold, but we choose to put sensible prevention measures in place anyway, because clients expect it and because it is the right thing to do. Our approach follows the Government's six principles, from commitment at the top through to reviewing how well the controls work.</w:t>
      </w:r>
      <w:commentRangeEnd w:id="1"/>
      <w:r>
        <w:commentReference w:id="1"/>
      </w:r>
    </w:p>
    <w:p w14:paraId="63F2835F" w14:textId="77777777" w:rsidR="000D077A" w:rsidRDefault="000B2C77">
      <w:pPr>
        <w:pStyle w:val="Heading1"/>
        <w:spacing w:before="280" w:after="100"/>
      </w:pPr>
      <w:bookmarkStart w:id="4" w:name="_Toc237951129"/>
      <w:r>
        <w:rPr>
          <w:sz w:val="28"/>
          <w:szCs w:val="28"/>
        </w:rPr>
        <w:t>5. What we actually do</w:t>
      </w:r>
      <w:bookmarkEnd w:id="4"/>
    </w:p>
    <w:p w14:paraId="63F28360" w14:textId="77777777" w:rsidR="000D077A" w:rsidRDefault="000B2C77">
      <w:pPr>
        <w:pStyle w:val="ListParagraph"/>
        <w:numPr>
          <w:ilvl w:val="0"/>
          <w:numId w:val="2"/>
        </w:numPr>
        <w:spacing w:after="70" w:line="264" w:lineRule="auto"/>
      </w:pPr>
      <w:r>
        <w:t xml:space="preserve">Keep money matters checked as far as a business of this size allows: the Managing Director approves every payment, bank details for a new payee are confirmed by phone before the first payment, and the external accountant reviews the accounts.</w:t>
      </w:r>
    </w:p>
    <w:p w14:paraId="63F28361" w14:textId="77777777" w:rsidR="000D077A" w:rsidRDefault="000B2C77">
      <w:pPr>
        <w:pStyle w:val="ListParagraph"/>
        <w:numPr>
          <w:ilvl w:val="0"/>
          <w:numId w:val="2"/>
        </w:numPr>
        <w:spacing w:after="70" w:line="264" w:lineRule="auto"/>
      </w:pPr>
      <w:r>
        <w:t>Check new suppliers and clients, and verify any change to bank details before we pay.</w:t>
      </w:r>
    </w:p>
    <w:p w14:paraId="63F28362" w14:textId="77777777" w:rsidR="000D077A" w:rsidRDefault="000B2C77">
      <w:pPr>
        <w:pStyle w:val="ListParagraph"/>
        <w:numPr>
          <w:ilvl w:val="0"/>
          <w:numId w:val="2"/>
        </w:numPr>
        <w:spacing w:after="70" w:line="264" w:lineRule="auto"/>
      </w:pPr>
      <w:r>
        <w:t>Keep clean records and look over the accounts regularly.</w:t>
      </w:r>
    </w:p>
    <w:p w14:paraId="63F28363" w14:textId="77777777" w:rsidR="000D077A" w:rsidRDefault="000B2C77">
      <w:pPr>
        <w:pStyle w:val="ListParagraph"/>
        <w:numPr>
          <w:ilvl w:val="0"/>
          <w:numId w:val="2"/>
        </w:numPr>
        <w:spacing w:after="70" w:line="264" w:lineRule="auto"/>
      </w:pPr>
      <w:r>
        <w:t>Stay alert to fake invoices, mandate fraud and email scams.</w:t>
      </w:r>
    </w:p>
    <w:p w14:paraId="63F28364" w14:textId="77777777" w:rsidR="000D077A" w:rsidRDefault="000B2C77">
      <w:pPr>
        <w:pStyle w:val="Heading1"/>
        <w:spacing w:before="280" w:after="100"/>
      </w:pPr>
      <w:bookmarkStart w:id="5" w:name="_Toc237951130"/>
      <w:r>
        <w:rPr>
          <w:sz w:val="28"/>
          <w:szCs w:val="28"/>
        </w:rPr>
        <w:t>6. Preventing the facilitation of tax evasion</w:t>
      </w:r>
      <w:bookmarkEnd w:id="5"/>
    </w:p>
    <w:p w14:paraId="63F28365" w14:textId="77777777" w:rsidR="000D077A" w:rsidRDefault="000B2C77">
      <w:pPr>
        <w:spacing w:after="140" w:line="264" w:lineRule="auto"/>
      </w:pPr>
      <w:r>
        <w:rPr>
          <w:color w:val="000000"/>
        </w:rPr>
        <w:t>Sections 45 and 46 of the Criminal Finances Act 2017 make it a corporate offence to fail to prevent someone acting for us from criminally facilitating tax evasion, whether the tax is owed here or overseas. Unlike the fraud offence at section 4 there is no size threshold, so it applies to us in full. It is strict liability. The only defence is to have reasonable prevention procedures in place. Sections 6 to 8 of this policy are those procedures, and they are built around HMRC's six guiding principles.</w:t>
      </w:r>
    </w:p>
    <w:p w14:paraId="63F28366" w14:textId="77777777" w:rsidR="000D077A" w:rsidRDefault="000B2C77">
      <w:pPr>
        <w:spacing w:after="140" w:line="264" w:lineRule="auto"/>
      </w:pPr>
      <w:r>
        <w:rPr>
          <w:b/>
          <w:bCs/>
          <w:color w:val="000000"/>
        </w:rPr>
        <w:t>Top level commitment</w:t>
      </w:r>
    </w:p>
    <w:p w14:paraId="63F28367" w14:textId="77777777" w:rsidR="000D077A" w:rsidRDefault="000B2C77">
      <w:pPr>
        <w:spacing w:after="140" w:line="264" w:lineRule="auto"/>
        <w:rPr>
          <w:color w:val="000000"/>
        </w:rPr>
      </w:pPr>
      <w:r>
        <w:rPr>
          <w:color w:val="000000"/>
        </w:rPr>
        <w:t>The Managing Director is responsible for this and will not approve any arrangement involving the facilitation of tax evasion, whatever it costs us to refuse. Where we identify facilitation we will report it to HMRC, including where we are at fault ourselves, and cooperate fully. Nobody will suffer any detriment for refusing to take part or for reporting a concern in good faith.</w:t>
      </w:r>
    </w:p>
    <w:p w14:paraId="742E3725" w14:textId="77777777" w:rsidR="00712914" w:rsidRDefault="00712914">
      <w:pPr>
        <w:spacing w:after="140" w:line="264" w:lineRule="auto"/>
        <w:rPr>
          <w:color w:val="000000"/>
        </w:rPr>
      </w:pPr>
    </w:p>
    <w:p w14:paraId="117978EA" w14:textId="77777777" w:rsidR="00712914" w:rsidRDefault="00712914">
      <w:pPr>
        <w:spacing w:after="140" w:line="264" w:lineRule="auto"/>
      </w:pPr>
    </w:p>
    <w:p w14:paraId="63F28368" w14:textId="77777777" w:rsidR="000D077A" w:rsidRDefault="000B2C77">
      <w:pPr>
        <w:spacing w:after="140" w:line="264" w:lineRule="auto"/>
      </w:pPr>
      <w:r>
        <w:rPr>
          <w:b/>
          <w:bCs/>
          <w:color w:val="000000"/>
        </w:rPr>
        <w:lastRenderedPageBreak/>
        <w:t>Risk assessment</w:t>
      </w:r>
    </w:p>
    <w:p w14:paraId="63F28369" w14:textId="77777777" w:rsidR="000D077A" w:rsidRDefault="000B2C77">
      <w:pPr>
        <w:spacing w:after="140" w:line="264" w:lineRule="auto"/>
      </w:pPr>
      <w:r>
        <w:rPr>
          <w:color w:val="000000"/>
        </w:rPr>
        <w:t xml:space="preserve">The Managing Director assesses once a year, and sooner if the way we work changes, where the business could be used to help someone evade tax. That means looking at every way money comes in and goes out and at everyone who acts for us. The current conclusion is that our exposure is low: everyone is employed directly and paid through PAYE, we engage no labour intermediaries, the Construction Industry Scheme does not apply to our services, we take no cash, we have no overseas operations or agents, and our accounts, VAT and payroll are prepared and filed by an external accountant. The residual risk sits in one place, which is a client or contractor asking us to invoice in a way that suits their tax position rather than reflecting what we actually did. The assessment and its conclusion are recorded in the minutes of the annual team meeting.</w:t>
      </w:r>
    </w:p>
    <w:p w14:paraId="63F2836A" w14:textId="77777777" w:rsidR="000D077A" w:rsidRDefault="000B2C77">
      <w:pPr>
        <w:spacing w:after="140" w:line="264" w:lineRule="auto"/>
      </w:pPr>
      <w:r>
        <w:rPr>
          <w:b/>
          <w:bCs/>
          <w:color w:val="000000"/>
        </w:rPr>
        <w:t>Proportionate procedures</w:t>
      </w:r>
    </w:p>
    <w:p w14:paraId="63F2836B" w14:textId="77777777" w:rsidR="000D077A" w:rsidRDefault="000B2C77">
      <w:pPr>
        <w:spacing w:after="140" w:line="264" w:lineRule="auto"/>
      </w:pPr>
      <w:r>
        <w:rPr>
          <w:color w:val="000000"/>
        </w:rPr>
        <w:t>These rules apply to everyone and there is no discretion in them:</w:t>
      </w:r>
    </w:p>
    <w:p w14:paraId="63F2836C" w14:textId="77777777" w:rsidR="000D077A" w:rsidRDefault="000B2C77">
      <w:pPr>
        <w:pStyle w:val="ListParagraph"/>
        <w:numPr>
          <w:ilvl w:val="0"/>
          <w:numId w:val="2"/>
        </w:numPr>
        <w:spacing w:after="70" w:line="264" w:lineRule="auto"/>
      </w:pPr>
      <w:r>
        <w:t>We invoice the party we contracted with, in our own registered name, for the work we actually did, on the date we did it, with VAT correctly applied.</w:t>
      </w:r>
    </w:p>
    <w:p w14:paraId="63F2836D" w14:textId="77777777" w:rsidR="000D077A" w:rsidRDefault="000B2C77">
      <w:pPr>
        <w:pStyle w:val="ListParagraph"/>
        <w:numPr>
          <w:ilvl w:val="0"/>
          <w:numId w:val="2"/>
        </w:numPr>
        <w:spacing w:after="70" w:line="264" w:lineRule="auto"/>
      </w:pPr>
      <w:r>
        <w:t>We will not change the entity on an invoice, alter the description of the work, backdate or re-date it, or split a fee across invoices or periods because a client has asked us to.</w:t>
      </w:r>
    </w:p>
    <w:p w14:paraId="63F2836E" w14:textId="77777777" w:rsidR="000D077A" w:rsidRDefault="000B2C77">
      <w:pPr>
        <w:pStyle w:val="ListParagraph"/>
        <w:numPr>
          <w:ilvl w:val="0"/>
          <w:numId w:val="2"/>
        </w:numPr>
        <w:spacing w:after="70" w:line="264" w:lineRule="auto"/>
      </w:pPr>
      <w:r>
        <w:t>We will not leave VAT off or change a VAT treatment at a client's request.</w:t>
      </w:r>
    </w:p>
    <w:p w14:paraId="63F2836F" w14:textId="77777777" w:rsidR="000D077A" w:rsidRDefault="000B2C77">
      <w:pPr>
        <w:pStyle w:val="ListParagraph"/>
        <w:numPr>
          <w:ilvl w:val="0"/>
          <w:numId w:val="2"/>
        </w:numPr>
        <w:spacing w:after="70" w:line="264" w:lineRule="auto"/>
      </w:pPr>
      <w:r>
        <w:t>We are paid into the company bank account only, and we take no cash.</w:t>
      </w:r>
    </w:p>
    <w:p w14:paraId="63F28370" w14:textId="77777777" w:rsidR="000D077A" w:rsidRDefault="000B2C77">
      <w:pPr>
        <w:pStyle w:val="ListParagraph"/>
        <w:numPr>
          <w:ilvl w:val="0"/>
          <w:numId w:val="2"/>
        </w:numPr>
        <w:spacing w:after="70" w:line="264" w:lineRule="auto"/>
      </w:pPr>
      <w:r>
        <w:t>We do not pay any supplier into an account that is not held by the party we contracted with.</w:t>
      </w:r>
    </w:p>
    <w:p w14:paraId="63F28371" w14:textId="77777777" w:rsidR="000D077A" w:rsidRDefault="000B2C77">
      <w:pPr>
        <w:pStyle w:val="ListParagraph"/>
        <w:numPr>
          <w:ilvl w:val="0"/>
          <w:numId w:val="2"/>
        </w:numPr>
        <w:spacing w:after="70" w:line="264" w:lineRule="auto"/>
      </w:pPr>
      <w:r>
        <w:t>Nobody may advise, assist or provide any document that helps another person misrepresent their tax position.</w:t>
      </w:r>
    </w:p>
    <w:p w14:paraId="63F28372" w14:textId="77777777" w:rsidR="000D077A" w:rsidRDefault="000B2C77">
      <w:pPr>
        <w:pStyle w:val="ListParagraph"/>
        <w:numPr>
          <w:ilvl w:val="0"/>
          <w:numId w:val="2"/>
        </w:numPr>
        <w:spacing w:after="70" w:line="264" w:lineRule="auto"/>
      </w:pPr>
      <w:r>
        <w:t>Nobody may ignore a request that looks designed to evade tax. Deliberately not asking the obvious question is treated the same as taking part.</w:t>
      </w:r>
    </w:p>
    <w:p w14:paraId="63F28373" w14:textId="77777777" w:rsidR="000D077A" w:rsidRDefault="000B2C77">
      <w:pPr>
        <w:pStyle w:val="ListParagraph"/>
        <w:numPr>
          <w:ilvl w:val="0"/>
          <w:numId w:val="2"/>
        </w:numPr>
        <w:spacing w:after="70" w:line="264" w:lineRule="auto"/>
      </w:pPr>
      <w:r>
        <w:t xml:space="preserve">If a client presses a request after it has been refused, the Managing Director takes it over and answers in writing. No employee has to argue the point alone.</w:t>
      </w:r>
    </w:p>
    <w:p w14:paraId="63F28374" w14:textId="77777777" w:rsidR="000D077A" w:rsidRDefault="000B2C77">
      <w:pPr>
        <w:pStyle w:val="ListParagraph"/>
        <w:numPr>
          <w:ilvl w:val="0"/>
          <w:numId w:val="2"/>
        </w:numPr>
        <w:spacing w:after="70" w:line="264" w:lineRule="auto"/>
      </w:pPr>
      <w:r>
        <w:t>Records of every transaction are kept for at least six years and there are no off-book accounts.</w:t>
      </w:r>
    </w:p>
    <w:p w14:paraId="63F28375" w14:textId="77777777" w:rsidR="000D077A" w:rsidRDefault="000B2C77">
      <w:pPr>
        <w:pStyle w:val="Heading1"/>
        <w:spacing w:before="280" w:after="100"/>
      </w:pPr>
      <w:bookmarkStart w:id="6" w:name="_Toc237951131"/>
      <w:r>
        <w:rPr>
          <w:sz w:val="28"/>
          <w:szCs w:val="28"/>
        </w:rPr>
        <w:t>7. Due diligence</w:t>
      </w:r>
      <w:bookmarkEnd w:id="6"/>
    </w:p>
    <w:p w14:paraId="63F28376" w14:textId="77777777" w:rsidR="000D077A" w:rsidRDefault="000B2C77">
      <w:pPr>
        <w:spacing w:after="140" w:line="264" w:lineRule="auto"/>
      </w:pPr>
      <w:r>
        <w:rPr>
          <w:color w:val="000000"/>
        </w:rPr>
        <w:t>On our own people, that means a right to work check and identity, National Insurance and reference checks before employment begins, under the Workforce Competency Policy, and salary paid through PAYE to an account in their own name.</w:t>
      </w:r>
    </w:p>
    <w:p w14:paraId="63F28377" w14:textId="77777777" w:rsidR="000D077A" w:rsidRDefault="000B2C77">
      <w:pPr>
        <w:spacing w:after="140" w:line="264" w:lineRule="auto"/>
      </w:pPr>
      <w:r>
        <w:rPr>
          <w:color w:val="000000"/>
        </w:rPr>
        <w:t>On suppliers, we check the entity at Companies House and pay only against a compliant invoice to a verified account. A change of bank details is confirmed verbally with a known contact on a number we already hold, never on an emailed request alone.</w:t>
      </w:r>
    </w:p>
    <w:p w14:paraId="63F28378" w14:textId="77777777" w:rsidR="000D077A" w:rsidRDefault="000B2C77">
      <w:pPr>
        <w:spacing w:after="140" w:line="264" w:lineRule="auto"/>
        <w:rPr>
          <w:color w:val="000000"/>
        </w:rPr>
      </w:pPr>
      <w:r>
        <w:rPr>
          <w:color w:val="000000"/>
        </w:rPr>
        <w:t xml:space="preserve">⟦short⟧ does not use sub-consultants to deliver its work. If it ever engages an associate or agent, the following is done before the engagement starts and the outcome recorded: Companies House, VAT and UTR verification and confirmation of who owns and controls the business; written confirmation of how they engage and pay their own people; an employment status assessment, using HMRC's CEST tool, for any individual engaged directly; and engagement terms requiring compliance with the Criminal Finances Act 2017 and with this policy, with a right to terminate for breach.</w:t>
      </w:r>
    </w:p>
    <w:p w14:paraId="038E0FEF" w14:textId="77777777" w:rsidR="00712914" w:rsidRDefault="00712914">
      <w:pPr>
        <w:spacing w:after="140" w:line="264" w:lineRule="auto"/>
        <w:rPr>
          <w:color w:val="000000"/>
        </w:rPr>
      </w:pPr>
    </w:p>
    <w:p w14:paraId="0C771071" w14:textId="77777777" w:rsidR="00712914" w:rsidRDefault="00712914">
      <w:pPr>
        <w:spacing w:after="140" w:line="264" w:lineRule="auto"/>
        <w:rPr>
          <w:color w:val="000000"/>
        </w:rPr>
      </w:pPr>
    </w:p>
    <w:p w14:paraId="28ABE499" w14:textId="77777777" w:rsidR="00712914" w:rsidRDefault="00712914">
      <w:pPr>
        <w:spacing w:after="140" w:line="264" w:lineRule="auto"/>
      </w:pPr>
    </w:p>
    <w:p w14:paraId="63F28379" w14:textId="77777777" w:rsidR="000D077A" w:rsidRDefault="000B2C77">
      <w:pPr>
        <w:pStyle w:val="Heading1"/>
        <w:spacing w:before="280" w:after="100"/>
      </w:pPr>
      <w:bookmarkStart w:id="7" w:name="_Toc237951132"/>
      <w:r>
        <w:rPr>
          <w:sz w:val="28"/>
          <w:szCs w:val="28"/>
        </w:rPr>
        <w:t>8. Communication, training and review</w:t>
      </w:r>
      <w:bookmarkEnd w:id="7"/>
    </w:p>
    <w:p w14:paraId="63F2837A" w14:textId="77777777" w:rsidR="000D077A" w:rsidRDefault="000B2C77">
      <w:pPr>
        <w:spacing w:after="140" w:line="264" w:lineRule="auto"/>
      </w:pPr>
      <w:r>
        <w:rPr>
          <w:color w:val="000000"/>
        </w:rPr>
        <w:t xml:space="preserve">This policy sits in the company shared folder. When it is issued or changed the Managing Director emails it round and asks each person to reply confirming they have read it, and those replies are kept. Everyone signs the staff policy acknowledgement once a year, and new starters get the pack before they start.</w:t>
      </w:r>
    </w:p>
    <w:p w14:paraId="63F2837B" w14:textId="77777777" w:rsidR="000D077A" w:rsidRDefault="000B2C77">
      <w:pPr>
        <w:spacing w:after="140" w:line="264" w:lineRule="auto"/>
      </w:pPr>
      <w:r>
        <w:rPr>
          <w:color w:val="000000"/>
        </w:rPr>
        <w:t xml:space="preserve">The practical point, which is the only part most people need, is covered at the annual team meeting: if a client asks you to change what an invoice says, the answer is no, and tell the Managing Director the same day. The meeting is minuted with a signed attendance record. We do not run a separate tax evasion course, because for a business of this size with no subcontracted labour, no cash and an external accountant that would be disproportionate and would not improve on the briefing.</w:t>
      </w:r>
    </w:p>
    <w:p w14:paraId="63F2837C" w14:textId="77777777" w:rsidR="000D077A" w:rsidRDefault="000B2C77">
      <w:pPr>
        <w:spacing w:after="140" w:line="264" w:lineRule="auto"/>
      </w:pPr>
      <w:r>
        <w:rPr>
          <w:color w:val="000000"/>
        </w:rPr>
        <w:t xml:space="preserve">The Managing Director reviews this policy, the risk conclusion at section 6 and any request that was refused during the year at the annual meeting, sample checks invoices and payments at the year end, and records anything changed as a result.</w:t>
      </w:r>
    </w:p>
    <w:p w14:paraId="63F2837D" w14:textId="77777777" w:rsidR="000D077A" w:rsidRDefault="000B2C77">
      <w:pPr>
        <w:pStyle w:val="Heading1"/>
        <w:spacing w:before="280" w:after="100"/>
      </w:pPr>
      <w:bookmarkStart w:id="8" w:name="_Toc237951133"/>
      <w:r>
        <w:rPr>
          <w:sz w:val="28"/>
          <w:szCs w:val="28"/>
        </w:rPr>
        <w:t>9. Reporting fraud</w:t>
      </w:r>
      <w:bookmarkEnd w:id="8"/>
    </w:p>
    <w:p w14:paraId="63F2837E" w14:textId="77777777" w:rsidR="000D077A" w:rsidRDefault="000B2C77">
      <w:pPr>
        <w:spacing w:after="140" w:line="264" w:lineRule="auto"/>
      </w:pPr>
      <w:r>
        <w:rPr>
          <w:color w:val="000000"/>
        </w:rPr>
        <w:t xml:space="preserve">Tell the Managing Director straight away, or use the Whistleblowing Policy. We take every report seriously and will go to the police or Action Fraud where we need to, and to HMRC where the concern is about tax.</w:t>
      </w:r>
    </w:p>
    <w:p w14:paraId="63F2837F" w14:textId="77777777" w:rsidR="000D077A" w:rsidRDefault="000B2C77">
      <w:pPr>
        <w:pStyle w:val="Heading1"/>
        <w:spacing w:before="280" w:after="100"/>
      </w:pPr>
      <w:bookmarkStart w:id="9" w:name="_Toc237951134"/>
      <w:r>
        <w:rPr>
          <w:sz w:val="28"/>
          <w:szCs w:val="28"/>
        </w:rPr>
        <w:t>10. Responsibilities</w:t>
      </w:r>
      <w:bookmarkEnd w:id="9"/>
    </w:p>
    <w:p w14:paraId="63F28380" w14:textId="77777777" w:rsidR="000D077A" w:rsidRDefault="000B2C77">
      <w:pPr>
        <w:pStyle w:val="ListParagraph"/>
        <w:numPr>
          <w:ilvl w:val="0"/>
          <w:numId w:val="2"/>
        </w:numPr>
        <w:spacing w:after="70" w:line="264" w:lineRule="auto"/>
      </w:pPr>
      <w:r>
        <w:t>Managing Director: overall responsibility for preventing and dealing with fraud and for compliance with the Criminal Finances Act 2017.</w:t>
      </w:r>
    </w:p>
    <w:p w14:paraId="63F28381" w14:textId="77777777" w:rsidR="000D077A" w:rsidRDefault="000B2C77">
      <w:pPr>
        <w:pStyle w:val="ListParagraph"/>
        <w:numPr>
          <w:ilvl w:val="0"/>
          <w:numId w:val="2"/>
        </w:numPr>
        <w:spacing w:after="70" w:line="264" w:lineRule="auto"/>
      </w:pPr>
      <w:r>
        <w:t>Everyone: stays alert, follows the controls, refuses and reports any request to change what an invoice says, and reports concerns.</w:t>
      </w:r>
    </w:p>
    <w:p w14:paraId="63F28382" w14:textId="77777777" w:rsidR="000D077A" w:rsidRDefault="000B2C77">
      <w:pPr>
        <w:pStyle w:val="Heading1"/>
        <w:spacing w:before="280" w:after="100"/>
      </w:pPr>
      <w:bookmarkStart w:id="10" w:name="_Toc237951135"/>
      <w:r>
        <w:rPr>
          <w:sz w:val="28"/>
          <w:szCs w:val="28"/>
        </w:rPr>
        <w:t>11. The law behind this policy</w:t>
      </w:r>
      <w:bookmarkEnd w:id="10"/>
    </w:p>
    <w:p w14:paraId="63F28383" w14:textId="77777777" w:rsidR="000D077A" w:rsidRDefault="000B2C77">
      <w:pPr>
        <w:spacing w:after="140" w:line="264" w:lineRule="auto"/>
        <w:rPr>
          <w:color w:val="000000"/>
        </w:rPr>
      </w:pPr>
      <w:commentRangeStart w:id="2"/>
      <w:r>
        <w:rPr>
          <w:color w:val="000000"/>
          <w:highlight w:val="yellow"/>
        </w:rPr>
        <w:t xml:space="preserve">The main pieces are the Fraud Act 2006, the Economic Crime and Corporate Transparency Act 2023 (in force from 1 September 2025), the Bribery Act 2010, the Criminal Finances Act 2017 and the Proceeds of Crime Act 2002. HMRC's guidance, "Tackling tax evasion: Government guidance for the corporate offences of failure to prevent the criminal facilitation of tax evasion", asks for procedures proportionate to the risk, and the arrangements at sections 6 to 8 are set to match a small consultancy rather than copied from a large contractor.</w:t>
      </w:r>
      <w:commentRangeEnd w:id="2"/>
      <w:r>
        <w:commentReference w:id="2"/>
      </w:r>
    </w:p>
    <w:p w14:paraId="4E2C400B" w14:textId="77777777" w:rsidR="00712914" w:rsidRDefault="00712914">
      <w:pPr>
        <w:spacing w:after="140" w:line="264" w:lineRule="auto"/>
        <w:rPr>
          <w:color w:val="000000"/>
        </w:rPr>
      </w:pPr>
    </w:p>
    <w:p w14:paraId="0A06265C" w14:textId="77777777" w:rsidR="00712914" w:rsidRDefault="00712914">
      <w:pPr>
        <w:spacing w:after="140" w:line="264" w:lineRule="auto"/>
        <w:rPr>
          <w:color w:val="000000"/>
        </w:rPr>
      </w:pPr>
    </w:p>
    <w:p w14:paraId="422AD2AB" w14:textId="77777777" w:rsidR="00712914" w:rsidRDefault="00712914">
      <w:pPr>
        <w:spacing w:after="140" w:line="264" w:lineRule="auto"/>
        <w:rPr>
          <w:color w:val="000000"/>
        </w:rPr>
      </w:pPr>
    </w:p>
    <w:p w14:paraId="37DD3B16" w14:textId="77777777" w:rsidR="00712914" w:rsidRDefault="00712914">
      <w:pPr>
        <w:spacing w:after="140" w:line="264" w:lineRule="auto"/>
        <w:rPr>
          <w:color w:val="000000"/>
        </w:rPr>
      </w:pPr>
    </w:p>
    <w:p w14:paraId="6CB148A6" w14:textId="77777777" w:rsidR="00712914" w:rsidRDefault="00712914">
      <w:pPr>
        <w:spacing w:after="140" w:line="264" w:lineRule="auto"/>
        <w:rPr>
          <w:color w:val="000000"/>
        </w:rPr>
      </w:pPr>
    </w:p>
    <w:p w14:paraId="6EAC2F4B" w14:textId="77777777" w:rsidR="00712914" w:rsidRDefault="00712914">
      <w:pPr>
        <w:spacing w:after="140" w:line="264" w:lineRule="auto"/>
        <w:rPr>
          <w:color w:val="000000"/>
        </w:rPr>
      </w:pPr>
    </w:p>
    <w:p w14:paraId="48115561" w14:textId="77777777" w:rsidR="00712914" w:rsidRDefault="00712914">
      <w:pPr>
        <w:spacing w:after="140" w:line="264" w:lineRule="auto"/>
        <w:rPr>
          <w:color w:val="000000"/>
        </w:rPr>
      </w:pPr>
    </w:p>
    <w:p w14:paraId="380BFAA1" w14:textId="77777777" w:rsidR="00712914" w:rsidRDefault="00712914">
      <w:pPr>
        <w:spacing w:after="140" w:line="264" w:lineRule="auto"/>
      </w:pPr>
    </w:p>
    <w:p w14:paraId="63F28384" w14:textId="77777777" w:rsidR="000D077A" w:rsidRDefault="000B2C77">
      <w:pPr>
        <w:pStyle w:val="Heading1"/>
        <w:spacing w:before="280" w:after="100"/>
      </w:pPr>
      <w:bookmarkStart w:id="11" w:name="_Toc237951136"/>
      <w:r>
        <w:rPr>
          <w:sz w:val="28"/>
          <w:szCs w:val="28"/>
        </w:rPr>
        <w:lastRenderedPageBreak/>
        <w:t>12. Policy review and updates</w:t>
      </w:r>
      <w:bookmarkEnd w:id="11"/>
    </w:p>
    <w:p w14:paraId="63F28385" w14:textId="77777777" w:rsidR="000D077A" w:rsidRDefault="000B2C77">
      <w:pPr>
        <w:spacing w:after="140" w:line="264" w:lineRule="auto"/>
      </w:pPr>
      <w:r>
        <w:rPr>
          <w:color w:val="000000"/>
        </w:rPr>
        <w:t>This policy is reviewed at least once every 12 months, and sooner if there is a change in legislation, working practices or company circumstances. Any amendments are recorded in the version control table below and communicated to all employees.</w:t>
      </w:r>
    </w:p>
    <w:p w14:paraId="63F28386" w14:textId="77777777" w:rsidR="000D077A" w:rsidRDefault="000D077A">
      <w:pPr>
        <w:spacing w:after="600"/>
      </w:pPr>
    </w:p>
    <w:p w14:paraId="63F28387" w14:textId="77777777" w:rsidR="000D077A" w:rsidRDefault="000B2C77">
      <w:pPr>
        <w:spacing w:after="60" w:line="264" w:lineRule="auto"/>
      </w:pPr>
      <w:r>
        <w:rPr>
          <w:color w:val="000000"/>
        </w:rPr>
        <w:t>⟦hsLead⟧</w:t>
      </w:r>
    </w:p>
    <w:p w14:paraId="63F28388" w14:textId="515FC52A" w:rsidR="000D077A" w:rsidRDefault="000B2C77" w:rsidP="00712914">
      <w:pPr>
        <w:spacing w:after="140"/>
      </w:pPr>
      <w:commentRangeStart w:id="3"/>
      <w:r>
        <w:rPr>
          <w:highlight w:val="yellow"/>
        </w:rPr>
        <w:t>Managing Director, ⟦legalName⟧</w:t>
        <w:tab/>
        <w:t xml:space="preserve"> </w:t>
        <w:tab/>
        <w:tab/>
        <w:tab/>
        <w:t xml:space="preserve">Date: 14</w:t>
      </w:r>
      <w:r>
        <w:rPr>
          <w:highlight w:val="yellow"/>
          <w:vertAlign w:val="superscript"/>
        </w:rPr>
        <w:t>th</w:t>
      </w:r>
      <w:r>
        <w:rPr>
          <w:highlight w:val="yellow"/>
        </w:rPr>
        <w:t xml:space="preserve"> August 2026 </w:t>
      </w:r>
      <w:commentRangeEnd w:id="3"/>
      <w:r>
        <w:commentReference w:id="3"/>
      </w:r>
    </w:p>
    <w:p w14:paraId="63F28389" w14:textId="77777777" w:rsidR="000D077A" w:rsidRDefault="000D077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300"/>
        <w:gridCol w:w="1900"/>
        <w:gridCol w:w="3560"/>
        <w:gridCol w:w="1600"/>
      </w:tblGrid>
      <w:tr w:rsidR="000D077A" w14:paraId="63F2838F" w14:textId="77777777">
        <w:tblPrEx>
          <w:tblCellMar>
            <w:top w:w="0" w:type="dxa"/>
            <w:bottom w:w="0" w:type="dxa"/>
          </w:tblCellMar>
        </w:tblPrEx>
        <w:trPr>
          <w:tblHeader/>
        </w:trPr>
        <w:tc>
          <w:tcPr>
            <w:tcW w:w="1000" w:type="dxa"/>
            <w:shd w:val="clear" w:color="auto" w:fill="F2F2F2"/>
            <w:tcMar>
              <w:top w:w="60" w:type="dxa"/>
              <w:left w:w="110" w:type="dxa"/>
              <w:bottom w:w="60" w:type="dxa"/>
              <w:right w:w="110" w:type="dxa"/>
            </w:tcMar>
          </w:tcPr>
          <w:p w14:paraId="63F2838A" w14:textId="77777777" w:rsidR="000D077A" w:rsidRDefault="000B2C77">
            <w:pPr>
              <w:spacing w:before="40" w:after="40"/>
            </w:pPr>
            <w:r>
              <w:rPr>
                <w:b/>
                <w:bCs/>
                <w:sz w:val="18"/>
                <w:szCs w:val="18"/>
              </w:rPr>
              <w:t>Version</w:t>
            </w:r>
          </w:p>
        </w:tc>
        <w:tc>
          <w:tcPr>
            <w:tcW w:w="1300" w:type="dxa"/>
            <w:shd w:val="clear" w:color="auto" w:fill="F2F2F2"/>
            <w:tcMar>
              <w:top w:w="60" w:type="dxa"/>
              <w:left w:w="110" w:type="dxa"/>
              <w:bottom w:w="60" w:type="dxa"/>
              <w:right w:w="110" w:type="dxa"/>
            </w:tcMar>
          </w:tcPr>
          <w:p w14:paraId="63F2838B" w14:textId="77777777" w:rsidR="000D077A" w:rsidRDefault="000B2C77">
            <w:pPr>
              <w:spacing w:before="40" w:after="40"/>
            </w:pPr>
            <w:r>
              <w:rPr>
                <w:b/>
                <w:bCs/>
                <w:sz w:val="18"/>
                <w:szCs w:val="18"/>
              </w:rPr>
              <w:t>Date</w:t>
            </w:r>
          </w:p>
        </w:tc>
        <w:tc>
          <w:tcPr>
            <w:tcW w:w="1900" w:type="dxa"/>
            <w:shd w:val="clear" w:color="auto" w:fill="F2F2F2"/>
            <w:tcMar>
              <w:top w:w="60" w:type="dxa"/>
              <w:left w:w="110" w:type="dxa"/>
              <w:bottom w:w="60" w:type="dxa"/>
              <w:right w:w="110" w:type="dxa"/>
            </w:tcMar>
          </w:tcPr>
          <w:p w14:paraId="63F2838C" w14:textId="77777777" w:rsidR="000D077A" w:rsidRDefault="000B2C77">
            <w:pPr>
              <w:spacing w:before="40" w:after="40"/>
            </w:pPr>
            <w:r>
              <w:rPr>
                <w:b/>
                <w:bCs/>
                <w:sz w:val="18"/>
                <w:szCs w:val="18"/>
              </w:rPr>
              <w:t>Author</w:t>
            </w:r>
          </w:p>
        </w:tc>
        <w:tc>
          <w:tcPr>
            <w:tcW w:w="3560" w:type="dxa"/>
            <w:shd w:val="clear" w:color="auto" w:fill="F2F2F2"/>
            <w:tcMar>
              <w:top w:w="60" w:type="dxa"/>
              <w:left w:w="110" w:type="dxa"/>
              <w:bottom w:w="60" w:type="dxa"/>
              <w:right w:w="110" w:type="dxa"/>
            </w:tcMar>
          </w:tcPr>
          <w:p w14:paraId="63F2838D" w14:textId="77777777" w:rsidR="000D077A" w:rsidRDefault="000B2C77">
            <w:pPr>
              <w:spacing w:before="40" w:after="40"/>
            </w:pPr>
            <w:r>
              <w:rPr>
                <w:b/>
                <w:bCs/>
                <w:sz w:val="18"/>
                <w:szCs w:val="18"/>
              </w:rPr>
              <w:t>Description of Changes</w:t>
            </w:r>
          </w:p>
        </w:tc>
        <w:tc>
          <w:tcPr>
            <w:tcW w:w="1600" w:type="dxa"/>
            <w:shd w:val="clear" w:color="auto" w:fill="F2F2F2"/>
            <w:tcMar>
              <w:top w:w="60" w:type="dxa"/>
              <w:left w:w="110" w:type="dxa"/>
              <w:bottom w:w="60" w:type="dxa"/>
              <w:right w:w="110" w:type="dxa"/>
            </w:tcMar>
          </w:tcPr>
          <w:p w14:paraId="63F2838E" w14:textId="77777777" w:rsidR="000D077A" w:rsidRDefault="000B2C77">
            <w:pPr>
              <w:spacing w:before="40" w:after="40"/>
            </w:pPr>
            <w:r>
              <w:rPr>
                <w:b/>
                <w:bCs/>
                <w:sz w:val="18"/>
                <w:szCs w:val="18"/>
              </w:rPr>
              <w:t>Approval By</w:t>
            </w:r>
          </w:p>
        </w:tc>
      </w:tr>
      <w:tr w:rsidR="000D077A" w14:paraId="63F28395" w14:textId="77777777">
        <w:tblPrEx>
          <w:tblCellMar>
            <w:top w:w="0" w:type="dxa"/>
            <w:bottom w:w="0" w:type="dxa"/>
          </w:tblCellMar>
        </w:tblPrEx>
        <w:tc>
          <w:tcPr>
            <w:tcW w:w="1000" w:type="dxa"/>
            <w:tcMar>
              <w:top w:w="60" w:type="dxa"/>
              <w:left w:w="110" w:type="dxa"/>
              <w:bottom w:w="60" w:type="dxa"/>
              <w:right w:w="110" w:type="dxa"/>
            </w:tcMar>
          </w:tcPr>
          <w:p w14:paraId="63F28390" w14:textId="77777777" w:rsidR="000D077A" w:rsidRDefault="000B2C77">
            <w:pPr>
              <w:spacing w:before="40" w:after="40"/>
            </w:pPr>
            <w:r>
              <w:rPr>
                <w:sz w:val="18"/>
                <w:szCs w:val="18"/>
              </w:rPr>
              <w:t>2.0</w:t>
            </w:r>
          </w:p>
        </w:tc>
        <w:tc>
          <w:tcPr>
            <w:tcW w:w="1300" w:type="dxa"/>
            <w:tcMar>
              <w:top w:w="60" w:type="dxa"/>
              <w:left w:w="110" w:type="dxa"/>
              <w:bottom w:w="60" w:type="dxa"/>
              <w:right w:w="110" w:type="dxa"/>
            </w:tcMar>
          </w:tcPr>
          <w:p w14:paraId="63F28391" w14:textId="77777777" w:rsidR="000D077A" w:rsidRDefault="000B2C77">
            <w:pPr>
              <w:spacing w:before="40" w:after="40"/>
            </w:pPr>
            <w:commentRangeStart w:id="4"/>
            <w:r>
              <w:rPr>
                <w:sz w:val="18"/>
                <w:szCs w:val="18"/>
                <w:highlight w:val="yellow"/>
              </w:rPr>
              <w:t>July 2026</w:t>
            </w:r>
            <w:commentRangeEnd w:id="4"/>
            <w:r>
              <w:commentReference w:id="4"/>
            </w:r>
          </w:p>
        </w:tc>
        <w:tc>
          <w:tcPr>
            <w:tcW w:w="1900" w:type="dxa"/>
            <w:tcMar>
              <w:top w:w="60" w:type="dxa"/>
              <w:left w:w="110" w:type="dxa"/>
              <w:bottom w:w="60" w:type="dxa"/>
              <w:right w:w="110" w:type="dxa"/>
            </w:tcMar>
          </w:tcPr>
          <w:p w14:paraId="63F28392" w14:textId="77777777" w:rsidR="000D077A" w:rsidRDefault="000B2C77">
            <w:pPr>
              <w:spacing w:before="40" w:after="40"/>
            </w:pPr>
            <w:r>
              <w:rPr>
                <w:sz w:val="18"/>
                <w:szCs w:val="18"/>
              </w:rPr>
              <w:t>Simon Archer</w:t>
            </w:r>
          </w:p>
        </w:tc>
        <w:tc>
          <w:tcPr>
            <w:tcW w:w="3560" w:type="dxa"/>
            <w:tcMar>
              <w:top w:w="60" w:type="dxa"/>
              <w:left w:w="110" w:type="dxa"/>
              <w:bottom w:w="60" w:type="dxa"/>
              <w:right w:w="110" w:type="dxa"/>
            </w:tcMar>
          </w:tcPr>
          <w:p w14:paraId="63F28393" w14:textId="77777777" w:rsidR="000D077A" w:rsidRDefault="000B2C77">
            <w:pPr>
              <w:spacing w:before="40" w:after="40"/>
            </w:pPr>
            <w:r>
              <w:rPr>
                <w:sz w:val="18"/>
                <w:szCs w:val="18"/>
              </w:rPr>
              <w:t>Reviewed and updated</w:t>
            </w:r>
          </w:p>
        </w:tc>
        <w:tc>
          <w:tcPr>
            <w:tcW w:w="1600" w:type="dxa"/>
            <w:tcMar>
              <w:top w:w="60" w:type="dxa"/>
              <w:left w:w="110" w:type="dxa"/>
              <w:bottom w:w="60" w:type="dxa"/>
              <w:right w:w="110" w:type="dxa"/>
            </w:tcMar>
          </w:tcPr>
          <w:p w14:paraId="63F28394" w14:textId="77777777" w:rsidR="000D077A" w:rsidRDefault="000B2C77">
            <w:pPr>
              <w:spacing w:before="40" w:after="40"/>
            </w:pPr>
            <w:r>
              <w:rPr>
                <w:sz w:val="18"/>
                <w:szCs w:val="18"/>
              </w:rPr>
              <w:t>⟦hsLead⟧</w:t>
            </w:r>
          </w:p>
        </w:tc>
      </w:tr>
      <w:tr w:rsidR="000D077A" w14:paraId="63F2839B" w14:textId="77777777">
        <w:tblPrEx>
          <w:tblCellMar>
            <w:top w:w="0" w:type="dxa"/>
            <w:bottom w:w="0" w:type="dxa"/>
          </w:tblCellMar>
        </w:tblPrEx>
        <w:tc>
          <w:tcPr>
            <w:tcW w:w="1000" w:type="dxa"/>
            <w:tcMar>
              <w:top w:w="60" w:type="dxa"/>
              <w:left w:w="110" w:type="dxa"/>
              <w:bottom w:w="60" w:type="dxa"/>
              <w:right w:w="110" w:type="dxa"/>
            </w:tcMar>
          </w:tcPr>
          <w:p w14:paraId="63F28396" w14:textId="77777777" w:rsidR="000D077A" w:rsidRDefault="000B2C77">
            <w:pPr>
              <w:spacing w:before="40" w:after="40"/>
            </w:pPr>
            <w:r>
              <w:rPr>
                <w:sz w:val="18"/>
                <w:szCs w:val="18"/>
              </w:rPr>
              <w:t>3.0</w:t>
            </w:r>
          </w:p>
        </w:tc>
        <w:tc>
          <w:tcPr>
            <w:tcW w:w="1300" w:type="dxa"/>
            <w:tcMar>
              <w:top w:w="60" w:type="dxa"/>
              <w:left w:w="110" w:type="dxa"/>
              <w:bottom w:w="60" w:type="dxa"/>
              <w:right w:w="110" w:type="dxa"/>
            </w:tcMar>
          </w:tcPr>
          <w:p w14:paraId="63F28397" w14:textId="77777777" w:rsidR="000D077A" w:rsidRDefault="000B2C77">
            <w:pPr>
              <w:spacing w:before="40" w:after="40"/>
            </w:pPr>
            <w:commentRangeStart w:id="5"/>
            <w:r>
              <w:rPr>
                <w:sz w:val="18"/>
                <w:szCs w:val="18"/>
                <w:highlight w:val="yellow"/>
              </w:rPr>
              <w:t>August 2026</w:t>
            </w:r>
            <w:commentRangeEnd w:id="5"/>
            <w:r>
              <w:commentReference w:id="5"/>
            </w:r>
          </w:p>
        </w:tc>
        <w:tc>
          <w:tcPr>
            <w:tcW w:w="1900" w:type="dxa"/>
            <w:tcMar>
              <w:top w:w="60" w:type="dxa"/>
              <w:left w:w="110" w:type="dxa"/>
              <w:bottom w:w="60" w:type="dxa"/>
              <w:right w:w="110" w:type="dxa"/>
            </w:tcMar>
          </w:tcPr>
          <w:p w14:paraId="63F28398" w14:textId="77777777" w:rsidR="000D077A" w:rsidRDefault="000B2C77">
            <w:pPr>
              <w:spacing w:before="40" w:after="40"/>
            </w:pPr>
            <w:r>
              <w:rPr>
                <w:sz w:val="18"/>
                <w:szCs w:val="18"/>
              </w:rPr>
              <w:t>Simon Archer</w:t>
            </w:r>
          </w:p>
        </w:tc>
        <w:tc>
          <w:tcPr>
            <w:tcW w:w="3560" w:type="dxa"/>
            <w:tcMar>
              <w:top w:w="60" w:type="dxa"/>
              <w:left w:w="110" w:type="dxa"/>
              <w:bottom w:w="60" w:type="dxa"/>
              <w:right w:w="110" w:type="dxa"/>
            </w:tcMar>
          </w:tcPr>
          <w:p w14:paraId="63F28399" w14:textId="77777777" w:rsidR="000D077A" w:rsidRDefault="000B2C77">
            <w:pPr>
              <w:spacing w:before="40" w:after="40"/>
            </w:pPr>
            <w:r>
              <w:rPr>
                <w:sz w:val="18"/>
                <w:szCs w:val="18"/>
              </w:rPr>
              <w:t>Added sections 6 to 8 covering the Criminal Finances Act 2017 and the prevention of the criminal facilitation of tax evasion, structured against HMRC's six principles. Replaces the separate Criminal Finances Risk Assessment</w:t>
            </w:r>
          </w:p>
        </w:tc>
        <w:tc>
          <w:tcPr>
            <w:tcW w:w="1600" w:type="dxa"/>
            <w:tcMar>
              <w:top w:w="60" w:type="dxa"/>
              <w:left w:w="110" w:type="dxa"/>
              <w:bottom w:w="60" w:type="dxa"/>
              <w:right w:w="110" w:type="dxa"/>
            </w:tcMar>
          </w:tcPr>
          <w:p w14:paraId="63F2839A" w14:textId="77777777" w:rsidR="000D077A" w:rsidRDefault="000B2C77">
            <w:pPr>
              <w:spacing w:before="40" w:after="40"/>
            </w:pPr>
            <w:r>
              <w:rPr>
                <w:sz w:val="18"/>
                <w:szCs w:val="18"/>
              </w:rPr>
              <w:t>⟦hsLead⟧</w:t>
            </w:r>
          </w:p>
        </w:tc>
      </w:tr>
      <w:tr w:rsidR="000D077A" w14:paraId="63F2839B" w14:textId="77777777">
        <w:tblPrEx>
          <w:tblCellMar>
            <w:top w:w="0" w:type="dxa"/>
            <w:bottom w:w="0" w:type="dxa"/>
          </w:tblCellMar>
        </w:tblPrEx>
        <w:tc>
          <w:tcPr>
            <w:tcW w:w="1000" w:type="dxa"/>
            <w:tcMar>
              <w:top w:w="60" w:type="dxa"/>
              <w:left w:w="110" w:type="dxa"/>
              <w:bottom w:w="60" w:type="dxa"/>
              <w:right w:w="110" w:type="dxa"/>
            </w:tcMar>
          </w:tcPr>
          <w:p w14:paraId="63F28396" w14:textId="77777777" w:rsidR="000D077A" w:rsidRDefault="000B2C77">
            <w:pPr>
              <w:spacing w:before="40" w:after="40"/>
            </w:pPr>
            <w:r>
              <w:rPr>
                <w:sz w:val="18"/>
                <w:szCs w:val="18"/>
              </w:rPr>
              <w:t xml:space="preserve">4.0</w:t>
            </w:r>
          </w:p>
        </w:tc>
        <w:tc>
          <w:tcPr>
            <w:tcW w:w="1300" w:type="dxa"/>
            <w:tcMar>
              <w:top w:w="60" w:type="dxa"/>
              <w:left w:w="110" w:type="dxa"/>
              <w:bottom w:w="60" w:type="dxa"/>
              <w:right w:w="110" w:type="dxa"/>
            </w:tcMar>
          </w:tcPr>
          <w:p w14:paraId="63F28397" w14:textId="77777777" w:rsidR="000D077A" w:rsidRDefault="000B2C77">
            <w:pPr>
              <w:spacing w:before="40" w:after="40"/>
            </w:pPr>
            <w:r>
              <w:rPr>
                <w:sz w:val="18"/>
                <w:szCs w:val="18"/>
              </w:rPr>
              <w:t xml:space="preserve">⟦issueMonth⟧</w:t>
            </w:r>
          </w:p>
        </w:tc>
        <w:tc>
          <w:tcPr>
            <w:tcW w:w="1900" w:type="dxa"/>
            <w:tcMar>
              <w:top w:w="60" w:type="dxa"/>
              <w:left w:w="110" w:type="dxa"/>
              <w:bottom w:w="60" w:type="dxa"/>
              <w:right w:w="110" w:type="dxa"/>
            </w:tcMar>
          </w:tcPr>
          <w:p w14:paraId="63F28398" w14:textId="77777777" w:rsidR="000D077A" w:rsidRDefault="000B2C77">
            <w:pPr>
              <w:spacing w:before="40" w:after="40"/>
            </w:pPr>
            <w:r>
              <w:rPr>
                <w:sz w:val="18"/>
                <w:szCs w:val="18"/>
              </w:rPr>
              <w:t xml:space="preserve">Simon Archer</w:t>
            </w:r>
          </w:p>
        </w:tc>
        <w:tc>
          <w:tcPr>
            <w:tcW w:w="3560" w:type="dxa"/>
            <w:tcMar>
              <w:top w:w="60" w:type="dxa"/>
              <w:left w:w="110" w:type="dxa"/>
              <w:bottom w:w="60" w:type="dxa"/>
              <w:right w:w="110" w:type="dxa"/>
            </w:tcMar>
          </w:tcPr>
          <w:p w14:paraId="63F28399" w14:textId="77777777" w:rsidR="000D077A" w:rsidRDefault="000B2C77">
            <w:pPr>
              <w:spacing w:before="40" w:after="40"/>
            </w:pPr>
            <w:commentRangeStart w:id="6"/>
            <w:r>
              <w:rPr>
                <w:sz w:val="18"/>
                <w:szCs w:val="18"/>
                <w:highlight w:val="yellow"/>
              </w:rPr>
              <w:t xml:space="preserve">Sole Director and no sub-consultants. Payment control described for a single-director business.</w:t>
            </w:r>
            <w:commentRangeEnd w:id="6"/>
            <w:r>
              <w:commentReference w:id="6"/>
            </w:r>
          </w:p>
        </w:tc>
        <w:tc>
          <w:tcPr>
            <w:tcW w:w="1600" w:type="dxa"/>
            <w:tcMar>
              <w:top w:w="60" w:type="dxa"/>
              <w:left w:w="110" w:type="dxa"/>
              <w:bottom w:w="60" w:type="dxa"/>
              <w:right w:w="110" w:type="dxa"/>
            </w:tcMar>
          </w:tcPr>
          <w:p w14:paraId="63F2839A" w14:textId="77777777" w:rsidR="000D077A" w:rsidRDefault="000B2C77">
            <w:pPr>
              <w:spacing w:before="40" w:after="40"/>
            </w:pPr>
            <w:r>
              <w:rPr>
                <w:sz w:val="18"/>
                <w:szCs w:val="18"/>
              </w:rPr>
              <w:t xml:space="preserve">⟦hsLead⟧</w:t>
            </w:r>
          </w:p>
        </w:tc>
      </w:tr>
    </w:tbl>
    <w:p w14:paraId="63F2839C" w14:textId="77777777" w:rsidR="000B2C77" w:rsidRDefault="000B2C77"/>
    <w:sectPr w:rsidR="000B2C77">
      <w:footerReference w:type="default" r:id="rId9"/>
      <w:pgSz w:w="11906" w:h="16838"/>
      <w:pgMar w:top="1080" w:right="1080" w:bottom="1080" w:left="1080" w:header="708" w:footer="708" w:gutter="0"/>
      <w:cols w:space="720"/>
      <w:docGrid w:linePitch="360"/>
    </w:sectPr>
  </w:body>
</w:document>
</file>

<file path=word/comments.xml><?xml version="1.0" encoding="utf-8"?>
<w:comments xmlns:w="http://schemas.openxmlformats.org/wordprocessingml/2006/main">
  <w:comment w:id="1" w:author="AHS Ltd" w:initials="AHS" w:date="2026-10-13T00:00:00Z">
    <w:p>
      <w:r>
        <w:t xml:space="preserve">AHS Ltd review: It carries dates from the original document: check or update them.</w:t>
      </w:r>
    </w:p>
  </w:comment>
  <w:comment w:id="2" w:author="AHS Ltd" w:initials="AHS" w:date="2026-10-13T00:00:00Z">
    <w:p>
      <w:r>
        <w:t xml:space="preserve">AHS Ltd review: It carries dates from the original document: check or update them.</w:t>
      </w:r>
    </w:p>
  </w:comment>
  <w:comment w:id="3" w:author="AHS Ltd" w:initials="AHS" w:date="2026-10-13T00:00:00Z">
    <w:p>
      <w:r>
        <w:t xml:space="preserve">AHS Ltd review: It carries dates from the original document: check or update them.</w:t>
      </w:r>
    </w:p>
  </w:comment>
  <w:comment w:id="4" w:author="AHS Ltd" w:initials="AHS" w:date="2026-10-13T00:00:00Z">
    <w:p>
      <w:r>
        <w:t xml:space="preserve">AHS Ltd review: It carries dates from the original document: check or update them.</w:t>
      </w:r>
    </w:p>
  </w:comment>
  <w:comment w:id="5" w:author="AHS Ltd" w:initials="AHS" w:date="2026-10-13T00:00:00Z">
    <w:p>
      <w:r>
        <w:t xml:space="preserve">AHS Ltd review: It carries dates from the original document: check or update them.</w:t>
      </w:r>
    </w:p>
  </w:comment>
  <w:comment w:id="6" w:author="AHS Ltd" w:initials="AHS" w:date="2026-10-13T00:00:00Z">
    <w:p>
      <w:r>
        <w:t xml:space="preserve">AHS Ltd review: This was written for a security systems design consultancy. Check it fits ⟦specialism⟧ and rewrite it where it does not.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3D650" w14:textId="77777777" w:rsidR="000B2C77" w:rsidRDefault="000B2C77">
      <w:r>
        <w:separator/>
      </w:r>
    </w:p>
  </w:endnote>
  <w:endnote w:type="continuationSeparator" w:id="0">
    <w:p w14:paraId="0CDBDA64" w14:textId="77777777" w:rsidR="000B2C77" w:rsidRDefault="000B2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283A0" w14:textId="77777777" w:rsidR="000D077A" w:rsidRDefault="000B2C77">
    <w:pPr>
      <w:pBdr>
        <w:top w:val="single" w:sz="6" w:space="6" w:color="000000"/>
      </w:pBdr>
      <w:spacing w:before="120"/>
      <w:jc w:val="center"/>
    </w:pPr>
    <w:r>
      <w:rPr>
        <w:rFonts w:ascii="Helvetica" w:eastAsia="Helvetica" w:hAnsi="Helvetica" w:cs="Helvetica"/>
        <w:sz w:val="14"/>
        <w:szCs w:val="14"/>
      </w:rPr>
      <w:t>Registered Office: ⟦address⟧</w:t>
    </w:r>
  </w:p>
  <w:p w14:paraId="63F283A1" w14:textId="77777777" w:rsidR="000D077A" w:rsidRDefault="000B2C77">
    <w:pPr>
      <w:jc w:val="center"/>
    </w:pPr>
    <w:r>
      <w:rPr>
        <w:rFonts w:ascii="Calibri" w:eastAsia="Calibri" w:hAnsi="Calibri" w:cs="Calibri"/>
        <w:sz w:val="14"/>
        <w:szCs w:val="14"/>
      </w:rPr>
      <w:t>Company number: ⟦companyNo⟧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DE1A9" w14:textId="77777777" w:rsidR="000B2C77" w:rsidRDefault="000B2C77">
      <w:r>
        <w:separator/>
      </w:r>
    </w:p>
  </w:footnote>
  <w:footnote w:type="continuationSeparator" w:id="0">
    <w:p w14:paraId="6BE64881" w14:textId="77777777" w:rsidR="000B2C77" w:rsidRDefault="000B2C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A6999"/>
    <w:multiLevelType w:val="hybridMultilevel"/>
    <w:tmpl w:val="B22E08DE"/>
    <w:lvl w:ilvl="0" w:tplc="B026492C">
      <w:start w:val="1"/>
      <w:numFmt w:val="bullet"/>
      <w:lvlText w:val="•"/>
      <w:lvlJc w:val="left"/>
      <w:pPr>
        <w:ind w:left="460" w:hanging="240"/>
      </w:pPr>
      <w:rPr>
        <w:rFonts w:ascii="Aptos" w:eastAsia="Aptos" w:hAnsi="Aptos" w:cs="Aptos"/>
        <w:sz w:val="22"/>
        <w:szCs w:val="22"/>
      </w:rPr>
    </w:lvl>
    <w:lvl w:ilvl="1" w:tplc="A02066BE">
      <w:start w:val="1"/>
      <w:numFmt w:val="bullet"/>
      <w:lvlText w:val="–"/>
      <w:lvlJc w:val="left"/>
      <w:pPr>
        <w:ind w:left="920" w:hanging="240"/>
      </w:pPr>
      <w:rPr>
        <w:rFonts w:ascii="Aptos" w:eastAsia="Aptos" w:hAnsi="Aptos" w:cs="Aptos"/>
        <w:sz w:val="22"/>
        <w:szCs w:val="22"/>
      </w:rPr>
    </w:lvl>
    <w:lvl w:ilvl="2" w:tplc="1500F91C">
      <w:numFmt w:val="decimal"/>
      <w:lvlText w:val=""/>
      <w:lvlJc w:val="left"/>
    </w:lvl>
    <w:lvl w:ilvl="3" w:tplc="61CA21E8">
      <w:numFmt w:val="decimal"/>
      <w:lvlText w:val=""/>
      <w:lvlJc w:val="left"/>
    </w:lvl>
    <w:lvl w:ilvl="4" w:tplc="206067C2">
      <w:numFmt w:val="decimal"/>
      <w:lvlText w:val=""/>
      <w:lvlJc w:val="left"/>
    </w:lvl>
    <w:lvl w:ilvl="5" w:tplc="1E1091D4">
      <w:numFmt w:val="decimal"/>
      <w:lvlText w:val=""/>
      <w:lvlJc w:val="left"/>
    </w:lvl>
    <w:lvl w:ilvl="6" w:tplc="E6888D8E">
      <w:numFmt w:val="decimal"/>
      <w:lvlText w:val=""/>
      <w:lvlJc w:val="left"/>
    </w:lvl>
    <w:lvl w:ilvl="7" w:tplc="FD4E667A">
      <w:numFmt w:val="decimal"/>
      <w:lvlText w:val=""/>
      <w:lvlJc w:val="left"/>
    </w:lvl>
    <w:lvl w:ilvl="8" w:tplc="E7F8D248">
      <w:numFmt w:val="decimal"/>
      <w:lvlText w:val=""/>
      <w:lvlJc w:val="left"/>
    </w:lvl>
  </w:abstractNum>
  <w:abstractNum w:abstractNumId="1" w15:restartNumberingAfterBreak="0">
    <w:nsid w:val="69A11E27"/>
    <w:multiLevelType w:val="hybridMultilevel"/>
    <w:tmpl w:val="F0360B92"/>
    <w:lvl w:ilvl="0" w:tplc="31224A2A">
      <w:start w:val="1"/>
      <w:numFmt w:val="bullet"/>
      <w:lvlText w:val="●"/>
      <w:lvlJc w:val="left"/>
      <w:pPr>
        <w:ind w:left="720" w:hanging="360"/>
      </w:pPr>
    </w:lvl>
    <w:lvl w:ilvl="1" w:tplc="C31CA770">
      <w:start w:val="1"/>
      <w:numFmt w:val="bullet"/>
      <w:lvlText w:val="○"/>
      <w:lvlJc w:val="left"/>
      <w:pPr>
        <w:ind w:left="1440" w:hanging="360"/>
      </w:pPr>
    </w:lvl>
    <w:lvl w:ilvl="2" w:tplc="07767E2A">
      <w:start w:val="1"/>
      <w:numFmt w:val="bullet"/>
      <w:lvlText w:val="■"/>
      <w:lvlJc w:val="left"/>
      <w:pPr>
        <w:ind w:left="2160" w:hanging="360"/>
      </w:pPr>
    </w:lvl>
    <w:lvl w:ilvl="3" w:tplc="9C7CAC08">
      <w:start w:val="1"/>
      <w:numFmt w:val="bullet"/>
      <w:lvlText w:val="●"/>
      <w:lvlJc w:val="left"/>
      <w:pPr>
        <w:ind w:left="2880" w:hanging="360"/>
      </w:pPr>
    </w:lvl>
    <w:lvl w:ilvl="4" w:tplc="433A9304">
      <w:start w:val="1"/>
      <w:numFmt w:val="bullet"/>
      <w:lvlText w:val="○"/>
      <w:lvlJc w:val="left"/>
      <w:pPr>
        <w:ind w:left="3600" w:hanging="360"/>
      </w:pPr>
    </w:lvl>
    <w:lvl w:ilvl="5" w:tplc="92AAFB92">
      <w:start w:val="1"/>
      <w:numFmt w:val="bullet"/>
      <w:lvlText w:val="■"/>
      <w:lvlJc w:val="left"/>
      <w:pPr>
        <w:ind w:left="4320" w:hanging="360"/>
      </w:pPr>
    </w:lvl>
    <w:lvl w:ilvl="6" w:tplc="B186F5CC">
      <w:start w:val="1"/>
      <w:numFmt w:val="bullet"/>
      <w:lvlText w:val="●"/>
      <w:lvlJc w:val="left"/>
      <w:pPr>
        <w:ind w:left="5040" w:hanging="360"/>
      </w:pPr>
    </w:lvl>
    <w:lvl w:ilvl="7" w:tplc="24B23DE4">
      <w:start w:val="1"/>
      <w:numFmt w:val="bullet"/>
      <w:lvlText w:val="●"/>
      <w:lvlJc w:val="left"/>
      <w:pPr>
        <w:ind w:left="5760" w:hanging="360"/>
      </w:pPr>
    </w:lvl>
    <w:lvl w:ilvl="8" w:tplc="E888545E">
      <w:start w:val="1"/>
      <w:numFmt w:val="bullet"/>
      <w:lvlText w:val="●"/>
      <w:lvlJc w:val="left"/>
      <w:pPr>
        <w:ind w:left="6480" w:hanging="360"/>
      </w:pPr>
    </w:lvl>
  </w:abstractNum>
  <w:num w:numId="1" w16cid:durableId="1652564911">
    <w:abstractNumId w:val="1"/>
    <w:lvlOverride w:ilvl="0">
      <w:startOverride w:val="1"/>
    </w:lvlOverride>
  </w:num>
  <w:num w:numId="2" w16cid:durableId="4882052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77A"/>
    <w:rsid w:val="000B2C77"/>
    <w:rsid w:val="000D077A"/>
    <w:rsid w:val="00337D08"/>
    <w:rsid w:val="007129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28343"/>
  <w15:docId w15:val="{08CFD6B5-CB17-4A88-803E-8A116D5EA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Aptos Black" w:eastAsia="Aptos Black" w:hAnsi="Aptos Black" w:cs="Aptos Black"/>
      <w:b/>
      <w:bCs/>
      <w:color w:val="E3DE00"/>
      <w:sz w:val="32"/>
      <w:szCs w:val="32"/>
    </w:rPr>
  </w:style>
  <w:style w:type="paragraph" w:styleId="Heading2">
    <w:name w:val="heading 2"/>
    <w:uiPriority w:val="9"/>
    <w:semiHidden/>
    <w:unhideWhenUsed/>
    <w:qFormat/>
    <w:pPr>
      <w:outlineLvl w:val="1"/>
    </w:pPr>
    <w:rPr>
      <w:rFonts w:ascii="Calibri" w:eastAsia="Calibri" w:hAnsi="Calibri" w:cs="Calibri"/>
      <w:b/>
      <w:bCs/>
      <w:color w:val="002060"/>
      <w:sz w:val="24"/>
      <w:szCs w:val="24"/>
    </w:rPr>
  </w:style>
  <w:style w:type="paragraph" w:styleId="Heading3">
    <w:name w:val="heading 3"/>
    <w:uiPriority w:val="9"/>
    <w:semiHidden/>
    <w:unhideWhenUsed/>
    <w:qFormat/>
    <w:pPr>
      <w:outlineLvl w:val="2"/>
    </w:pPr>
    <w:rPr>
      <w:rFonts w:ascii="Calibri" w:eastAsia="Calibri" w:hAnsi="Calibri" w:cs="Calibri"/>
      <w:b/>
      <w:bCs/>
      <w:color w:val="00206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1291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Ahs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1454</Words>
  <Characters>8288</Characters>
  <Application>Microsoft Office Word</Application>
  <DocSecurity>0</DocSecurity>
  <Lines>69</Lines>
  <Paragraphs>19</Paragraphs>
  <ScaleCrop>false</ScaleCrop>
  <Company/>
  <LinksUpToDate>false</LinksUpToDate>
  <CharactersWithSpaces>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Fraud Prevention Policy</dc:title>
  <dc:creator>AHS Ltd</dc:creator>
  <cp:lastModifiedBy>AHS Ltd</cp:lastModifiedBy>
</cp:coreProperties>
</file>