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HOME WORKING AND DSE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Scope</w:t>
      </w:r>
    </w:p>
    <w:p>
      <w:pPr>
        <w:spacing w:after="80"/>
      </w:pPr>
      <w:r>
        <w:rPr>
          <w:rFonts w:ascii="Arial" w:cs="Arial" w:eastAsia="Arial" w:hAnsi="Arial"/>
          <w:color w:val="3A3A3A"/>
          <w:sz w:val="21"/>
          <w:szCs w:val="21"/>
        </w:rPr>
        <w:t xml:space="preserve">Section 2: Assessment</w:t>
      </w:r>
    </w:p>
    <w:p>
      <w:pPr>
        <w:spacing w:after="80"/>
      </w:pPr>
      <w:r>
        <w:rPr>
          <w:rFonts w:ascii="Arial" w:cs="Arial" w:eastAsia="Arial" w:hAnsi="Arial"/>
          <w:color w:val="3A3A3A"/>
          <w:sz w:val="21"/>
          <w:szCs w:val="21"/>
        </w:rPr>
        <w:t xml:space="preserve">Section 3: Further Action</w:t>
      </w:r>
    </w:p>
    <w:p>
      <w:pPr>
        <w:spacing w:after="80"/>
      </w:pPr>
      <w:r>
        <w:rPr>
          <w:rFonts w:ascii="Arial" w:cs="Arial" w:eastAsia="Arial" w:hAnsi="Arial"/>
          <w:color w:val="3A3A3A"/>
          <w:sz w:val="21"/>
          <w:szCs w:val="21"/>
        </w:rPr>
        <w:t xml:space="preserve">Section 4: Review</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tblHeader/>
        </w:trPr>
        <w:tc>
          <w:tcPr>
            <w:tcW w:type="dxa" w:w="265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37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Details</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Activity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Desk-based design, specification and advisory work at home, using a laptop or desktop computer</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Who it covers</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Everyone employed by ⟦short⟧ who works from home</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Assessed by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CMIOSH CMaPS, Archer Health &amp; Safety</w:t>
            </w:r>
          </w:p>
        </w:tc>
      </w:tr>
      <w:tr>
        <w:trPr>
          <w:tblHeader w:val="false"/>
        </w:trPr>
        <w:tc>
          <w:tcPr>
            <w:tcW w:type="dxa" w:w="265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37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bl>
    <w:p>
      <w:pPr>
        <w:spacing w:after="120"/>
      </w:pPr>
    </w:p>
    <w:p>
      <w:pPr>
        <w:spacing w:after="140" w:line="300"/>
      </w:pPr>
      <w:r>
        <w:rPr>
          <w:rFonts w:ascii="Arial" w:cs="Arial" w:eastAsia="Arial" w:hAnsi="Arial"/>
          <w:color w:val="3A3A3A"/>
          <w:sz w:val="21"/>
          <w:szCs w:val="21"/>
        </w:rPr>
        <w:t xml:space="preserve">Risk is rated Low, Medium or High after the controls are in place, taking account of how likely harm is and how serious it would be.</w:t>
      </w:r>
    </w:p>
    <w:p>
      <w:pPr>
        <w:pStyle w:val="Heading1"/>
        <w:pBdr>
          <w:bottom w:val="single" w:color="9A9A9A" w:sz="4" w:space="4"/>
        </w:pBdr>
        <w:spacing w:after="160" w:before="360"/>
      </w:pPr>
      <w:r>
        <w:rPr>
          <w:rFonts w:ascii="Arial" w:cs="Arial" w:eastAsia="Arial" w:hAnsi="Arial"/>
          <w:b/>
          <w:bCs/>
          <w:color w:val="2E4A5C"/>
          <w:sz w:val="24"/>
          <w:szCs w:val="24"/>
        </w:rPr>
        <w:t xml:space="preserve">SECTION 2: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7"/>
        <w:gridCol w:w="2226"/>
        <w:gridCol w:w="4204"/>
        <w:gridCol w:w="989"/>
      </w:tblGrid>
      <w:tr>
        <w:trPr>
          <w:tblHeader/>
        </w:trPr>
        <w:tc>
          <w:tcPr>
            <w:tcW w:type="dxa" w:w="16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Hazard</w:t>
            </w:r>
          </w:p>
        </w:tc>
        <w:tc>
          <w:tcPr>
            <w:tcW w:type="dxa" w:w="222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Who might be harmed and how</w:t>
            </w:r>
          </w:p>
        </w:tc>
        <w:tc>
          <w:tcPr>
            <w:tcW w:type="dxa" w:w="420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Controls in place</w:t>
            </w:r>
          </w:p>
        </w:tc>
        <w:tc>
          <w:tcPr>
            <w:tcW w:type="dxa" w:w="98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Risk</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Poor workstation set-up</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Neck, back, shoulder and wrist pain from long periods at a badly arranged screen, chair or desk</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Workstation self-assessment completed on starting and when the set-up changes, reviewed by the Managing Director. Separate keyboard, mouse and screen or laptop stand provided where needed. Adjustable chair supplied if the employee does not have one</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Prolonged screen use</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Eye strain, headaches and fatigue</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Work broken up with short, frequent breaks or changes of activity. Eye and eyesight test paid for by the Company on request, with basic glasses where needed for screen work</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Electrical equipment</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and their household. Shock or fire from damaged Company equipment or overloaded sockets</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Company equipment checked by the user before use. Damaged equipment taken out of use and reported. No daisy-chained extension leads. Chargers supplied with equipment are used</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Trips and falls</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Tripping over trailing cables or clutter around the workstation</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Cables routed away from walkways. Work area kept clear. Employee confirms on the self-assessment</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Lone working</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No one nearby to help if they are taken ill</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Regular contact with the Managing Director through the working day by phone, email and online meetings. Employee keeps a mobile phone to hand</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Stress, workload and isolation</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Anxiety, low mood or burnout from deadlines or working alone</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Workload discussed openly. Regular online contact and team meetings. Mental Health and Wellbeing Policy in place. Employees encouraged to speak to the Managing Director early</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 at home</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and their household</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Employees encouraged to have a working smoke alarm and keep escape routes clear. Company equipment not left charging unattended overnight</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r>
        <w:trPr>
          <w:tblHeader w:val="false"/>
        </w:trPr>
        <w:tc>
          <w:tcPr>
            <w:tcW w:type="dxa" w:w="16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Information security</w:t>
            </w:r>
          </w:p>
        </w:tc>
        <w:tc>
          <w:tcPr>
            <w:tcW w:type="dxa" w:w="222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Clients and employees. Loss or disclosure of confidential design or personal information</w:t>
            </w:r>
          </w:p>
        </w:tc>
        <w:tc>
          <w:tcPr>
            <w:tcW w:type="dxa" w:w="420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Company devices password protected. Work saved to the shared document folder, not locally. Screens locked when unattended. GDPR Policy followed</w:t>
            </w:r>
          </w:p>
        </w:tc>
        <w:tc>
          <w:tcPr>
            <w:tcW w:type="dxa" w:w="98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Low</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3: FURTHER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23"/>
        <w:gridCol w:w="2133"/>
        <w:gridCol w:w="1970"/>
      </w:tblGrid>
      <w:tr>
        <w:trPr>
          <w:tblHeader/>
        </w:trPr>
        <w:tc>
          <w:tcPr>
            <w:tcW w:type="dxa" w:w="492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Action</w:t>
            </w:r>
          </w:p>
        </w:tc>
        <w:tc>
          <w:tcPr>
            <w:tcW w:type="dxa" w:w="213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Who</w:t>
            </w:r>
          </w:p>
        </w:tc>
        <w:tc>
          <w:tcPr>
            <w:tcW w:type="dxa" w:w="1970"/>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By</w:t>
            </w:r>
          </w:p>
        </w:tc>
      </w:tr>
      <w:tr>
        <w:trPr>
          <w:tblHeader w:val="false"/>
        </w:trPr>
        <w:tc>
          <w:tcPr>
            <w:tcW w:type="dxa" w:w="492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Each employee completes the workstation self-assessment and returns it to the Managing Director</w:t>
            </w:r>
          </w:p>
        </w:tc>
        <w:tc>
          <w:tcPr>
            <w:tcW w:type="dxa" w:w="21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All employees</w:t>
            </w:r>
          </w:p>
        </w:tc>
        <w:tc>
          <w:tcPr>
            <w:tcW w:type="dxa" w:w="19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r>
      <w:tr>
        <w:trPr>
          <w:tblHeader w:val="false"/>
        </w:trPr>
        <w:tc>
          <w:tcPr>
            <w:tcW w:type="dxa" w:w="492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reviews each self-assessment and arranges any equipment needed</w:t>
            </w:r>
          </w:p>
        </w:tc>
        <w:tc>
          <w:tcPr>
            <w:tcW w:type="dxa" w:w="21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w:t>
            </w:r>
          </w:p>
        </w:tc>
        <w:tc>
          <w:tcPr>
            <w:tcW w:type="dxa" w:w="19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4: REVIEW</w:t>
      </w:r>
    </w:p>
    <w:p>
      <w:pPr>
        <w:spacing w:after="140" w:line="300"/>
      </w:pPr>
      <w:r>
        <w:rPr>
          <w:rFonts w:ascii="Arial" w:cs="Arial" w:eastAsia="Arial" w:hAnsi="Arial"/>
          <w:color w:val="3A3A3A"/>
          <w:sz w:val="21"/>
          <w:szCs w:val="21"/>
        </w:rPr>
        <w:t xml:space="preserve">This assessment is reviewed every year, after any incident or report of discomfort, and when an employee's working arrangements change. Employees confirm they have read it on the Policy Acknowledgement Form.</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First issue. Replaces the office risk assessment for Safety House, which the Company no longer occupies.</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Home Working and DSE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Home Working and DSE Risk Assessment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