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MODERN SLAVERY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Policy Statement</w:t>
      </w:r>
    </w:p>
    <w:p>
      <w:pPr>
        <w:spacing w:after="80"/>
      </w:pPr>
      <w:r>
        <w:rPr>
          <w:rFonts w:ascii="Arial" w:cs="Arial" w:eastAsia="Arial" w:hAnsi="Arial"/>
          <w:color w:val="3A3A3A"/>
          <w:sz w:val="21"/>
          <w:szCs w:val="21"/>
        </w:rPr>
        <w:t xml:space="preserve">Section 2: Our Business and Supply Chain</w:t>
      </w:r>
    </w:p>
    <w:p>
      <w:pPr>
        <w:spacing w:after="80"/>
      </w:pPr>
      <w:r>
        <w:rPr>
          <w:rFonts w:ascii="Arial" w:cs="Arial" w:eastAsia="Arial" w:hAnsi="Arial"/>
          <w:color w:val="3A3A3A"/>
          <w:sz w:val="21"/>
          <w:szCs w:val="21"/>
        </w:rPr>
        <w:t xml:space="preserve">Section 3: What We Do</w:t>
      </w:r>
    </w:p>
    <w:p>
      <w:pPr>
        <w:spacing w:after="80"/>
      </w:pPr>
      <w:r>
        <w:rPr>
          <w:rFonts w:ascii="Arial" w:cs="Arial" w:eastAsia="Arial" w:hAnsi="Arial"/>
          <w:color w:val="3A3A3A"/>
          <w:sz w:val="21"/>
          <w:szCs w:val="21"/>
        </w:rPr>
        <w:t xml:space="preserve">Section 4: Recognising and Reporting Concerns</w:t>
      </w:r>
    </w:p>
    <w:p>
      <w:pPr>
        <w:spacing w:after="80"/>
      </w:pPr>
      <w:r>
        <w:rPr>
          <w:rFonts w:ascii="Arial" w:cs="Arial" w:eastAsia="Arial" w:hAnsi="Arial"/>
          <w:color w:val="3A3A3A"/>
          <w:sz w:val="21"/>
          <w:szCs w:val="21"/>
        </w:rPr>
        <w:t xml:space="preserve">Section 5: Responsibilities</w:t>
      </w:r>
    </w:p>
    <w:p>
      <w:pPr>
        <w:spacing w:after="80"/>
      </w:pPr>
      <w:r>
        <w:rPr>
          <w:rFonts w:ascii="Arial" w:cs="Arial" w:eastAsia="Arial" w:hAnsi="Arial"/>
          <w:color w:val="3A3A3A"/>
          <w:sz w:val="21"/>
          <w:szCs w:val="21"/>
        </w:rPr>
        <w:t xml:space="preserve">Section 6: Monitoring and Review</w:t>
      </w:r>
    </w:p>
    <w:p>
      <w:pPr>
        <w:spacing w:after="80"/>
      </w:pPr>
      <w:r>
        <w:rPr>
          <w:rFonts w:ascii="Arial" w:cs="Arial" w:eastAsia="Arial" w:hAnsi="Arial"/>
          <w:color w:val="3A3A3A"/>
          <w:sz w:val="21"/>
          <w:szCs w:val="21"/>
        </w:rPr>
        <w:t xml:space="preserve">Section 7: Legislation</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POLICY STATEMENT</w:t>
      </w:r>
    </w:p>
    <w:p>
      <w:pPr>
        <w:spacing w:after="140" w:line="300"/>
      </w:pPr>
      <w:r>
        <w:rPr>
          <w:rFonts w:ascii="Arial" w:cs="Arial" w:eastAsia="Arial" w:hAnsi="Arial"/>
          <w:color w:val="3A3A3A"/>
          <w:sz w:val="21"/>
          <w:szCs w:val="21"/>
        </w:rPr>
        <w:t xml:space="preserve">⟦legalName⟧ (⟦short⟧) will not tolerate slavery, servitude, forced or compulsory labour or human trafficking in any part of its business or supply chain. This policy sets out the steps we take to prevent it, sized to a small UK design consultancy.</w:t>
      </w:r>
    </w:p>
    <w:p>
      <w:pPr>
        <w:spacing w:after="140" w:line="300"/>
      </w:pPr>
      <w:r>
        <w:rPr>
          <w:rFonts w:ascii="Arial" w:cs="Arial" w:eastAsia="Arial" w:hAnsi="Arial"/>
          <w:color w:val="3A3A3A"/>
          <w:sz w:val="21"/>
          <w:szCs w:val="21"/>
        </w:rPr>
        <w:t xml:space="preserve">⟦short⟧ is below the £36 million turnover threshold in section 54 of the Modern Slavery Act 2015, so it is not required to publish an annual slavery and human trafficking statement. It keeps this policy voluntarily, because clients and main contractors expect it and because it is the right thing to do.</w:t>
      </w:r>
    </w:p>
    <w:p>
      <w:pPr>
        <w:pStyle w:val="Heading1"/>
        <w:pBdr>
          <w:bottom w:val="single" w:color="9A9A9A" w:sz="4" w:space="4"/>
        </w:pBdr>
        <w:spacing w:after="160" w:before="360"/>
      </w:pPr>
      <w:r>
        <w:rPr>
          <w:rFonts w:ascii="Arial" w:cs="Arial" w:eastAsia="Arial" w:hAnsi="Arial"/>
          <w:b/>
          <w:bCs/>
          <w:color w:val="2E4A5C"/>
          <w:sz w:val="24"/>
          <w:szCs w:val="24"/>
        </w:rPr>
        <w:t xml:space="preserve">SECTION 2: OUR BUSINESS AND SUPPLY CHAIN</w:t>
      </w:r>
    </w:p>
    <w:p>
      <w:pPr>
        <w:spacing w:after="140" w:line="300"/>
      </w:pPr>
      <w:r>
        <w:rPr>
          <w:rFonts w:ascii="Arial" w:cs="Arial" w:eastAsia="Arial" w:hAnsi="Arial"/>
          <w:color w:val="3A3A3A"/>
          <w:sz w:val="21"/>
          <w:szCs w:val="21"/>
        </w:rPr>
        <w:t xml:space="preserve">Understanding where the risk sits is the basis of everything else in this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tblHeader/>
        </w:trPr>
        <w:tc>
          <w:tcPr>
            <w:tcW w:type="dxa" w:w="265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Area</w:t>
            </w:r>
          </w:p>
        </w:tc>
        <w:tc>
          <w:tcPr>
            <w:tcW w:type="dxa" w:w="6371"/>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Position</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Our own workforce</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Employed directly by ⟦short⟧ and paid through PAYE. Right to work is checked for everyone before they start, under our Right to Work Policy.</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Labour supply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⟦short⟧ does not use subcontractors, sub-consultants, agency workers or labour providers to deliver its work.</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What we buy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Office equipment and IT, software licences, professional services such as accountancy, insurance and health and safety advice, and travel. All bought from UK businesses.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Where we work</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UK clients only. No overseas operations or agents.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Indirect influence</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We specify security products that are installed by others. Electronics supply chains carry a recognised modern slavery risk, which we can influence through what we specify.</w:t>
            </w:r>
          </w:p>
        </w:tc>
      </w:tr>
    </w:tbl>
    <w:p>
      <w:pPr>
        <w:spacing w:after="120"/>
      </w:pPr>
    </w:p>
    <w:p>
      <w:pPr>
        <w:spacing w:after="140" w:line="300"/>
      </w:pPr>
      <w:r>
        <w:rPr>
          <w:rFonts w:ascii="Arial" w:cs="Arial" w:eastAsia="Arial" w:hAnsi="Arial"/>
          <w:color w:val="3A3A3A"/>
          <w:sz w:val="21"/>
          <w:szCs w:val="21"/>
        </w:rPr>
        <w:t xml:space="preserve">On that basis, the risk of modern slavery in ⟦short⟧'s own operations is very low. The main area where we can make a difference is in the products we specify.</w:t>
      </w:r>
    </w:p>
    <w:p>
      <w:pPr>
        <w:pStyle w:val="Heading1"/>
        <w:pBdr>
          <w:bottom w:val="single" w:color="9A9A9A" w:sz="4" w:space="4"/>
        </w:pBdr>
        <w:spacing w:after="160" w:before="360"/>
      </w:pPr>
      <w:r>
        <w:rPr>
          <w:rFonts w:ascii="Arial" w:cs="Arial" w:eastAsia="Arial" w:hAnsi="Arial"/>
          <w:b/>
          <w:bCs/>
          <w:color w:val="2E4A5C"/>
          <w:sz w:val="24"/>
          <w:szCs w:val="24"/>
        </w:rPr>
        <w:t xml:space="preserve">SECTION 3: WHAT WE DO</w:t>
      </w:r>
    </w:p>
    <w:p>
      <w:pPr>
        <w:pStyle w:val="ListParagraph"/>
        <w:numPr>
          <w:ilvl w:val="0"/>
          <w:numId w:val="2"/>
        </w:numPr>
        <w:spacing w:after="80" w:line="290"/>
      </w:pPr>
      <w:r>
        <w:rPr>
          <w:rFonts w:ascii="Arial" w:cs="Arial" w:eastAsia="Arial" w:hAnsi="Arial"/>
          <w:color w:val="3A3A3A"/>
          <w:sz w:val="21"/>
          <w:szCs w:val="21"/>
        </w:rPr>
        <w:t xml:space="preserve">Check the right to work of everyone we employ before they start, and pay at least the National Living Wage.</w:t>
      </w:r>
    </w:p>
    <w:p>
      <w:pPr>
        <w:pStyle w:val="ListParagraph"/>
        <w:numPr>
          <w:ilvl w:val="0"/>
          <w:numId w:val="2"/>
        </w:numPr>
        <w:spacing w:after="80" w:line="290"/>
      </w:pPr>
      <w:r>
        <w:rPr>
          <w:rFonts w:ascii="Arial" w:cs="Arial" w:eastAsia="Arial" w:hAnsi="Arial"/>
          <w:color w:val="3A3A3A"/>
          <w:sz w:val="21"/>
          <w:szCs w:val="21"/>
        </w:rPr>
        <w:t xml:space="preserve">Buy from established UK businesses and do not knowingly deal with anyone involved in modern slavery.</w:t>
      </w:r>
    </w:p>
    <w:p>
      <w:pPr>
        <w:pStyle w:val="ListParagraph"/>
        <w:numPr>
          <w:ilvl w:val="0"/>
          <w:numId w:val="2"/>
        </w:numPr>
        <w:spacing w:after="80" w:line="290"/>
      </w:pPr>
      <w:r>
        <w:rPr>
          <w:rFonts w:ascii="Arial" w:cs="Arial" w:eastAsia="Arial" w:hAnsi="Arial"/>
          <w:color w:val="3A3A3A"/>
          <w:sz w:val="21"/>
          <w:szCs w:val="21"/>
        </w:rPr>
        <w:t xml:space="preserve">Where a project allows a choice between equivalent products, prefer manufacturers that publish a modern slavery statement.</w:t>
      </w:r>
    </w:p>
    <w:p>
      <w:pPr>
        <w:pStyle w:val="ListParagraph"/>
        <w:numPr>
          <w:ilvl w:val="0"/>
          <w:numId w:val="2"/>
        </w:numPr>
        <w:spacing w:after="80" w:line="290"/>
      </w:pPr>
      <w:r>
        <w:rPr>
          <w:rFonts w:ascii="Arial" w:cs="Arial" w:eastAsia="Arial" w:hAnsi="Arial"/>
          <w:color w:val="3A3A3A"/>
          <w:sz w:val="21"/>
          <w:szCs w:val="21"/>
        </w:rPr>
        <w:t xml:space="preserve">Before engaging any new type of supplier that supplies labour, or any supplier outside the UK, review the risk and ask the supplier to confirm in writing that it complies with the Modern Slavery Act 2015.</w:t>
      </w:r>
    </w:p>
    <w:p>
      <w:pPr>
        <w:pStyle w:val="ListParagraph"/>
        <w:numPr>
          <w:ilvl w:val="0"/>
          <w:numId w:val="2"/>
        </w:numPr>
        <w:spacing w:after="80" w:line="290"/>
      </w:pPr>
      <w:r>
        <w:rPr>
          <w:rFonts w:ascii="Arial" w:cs="Arial" w:eastAsia="Arial" w:hAnsi="Arial"/>
          <w:color w:val="3A3A3A"/>
          <w:sz w:val="21"/>
          <w:szCs w:val="21"/>
        </w:rPr>
        <w:t xml:space="preserve">Make sure everyone who works for ⟦short⟧ knows the signs of modern slavery and how to report a concern, through the annual team meeting.</w:t>
      </w:r>
    </w:p>
    <w:p>
      <w:pPr>
        <w:pStyle w:val="Heading1"/>
        <w:pBdr>
          <w:bottom w:val="single" w:color="9A9A9A" w:sz="4" w:space="4"/>
        </w:pBdr>
        <w:spacing w:after="160" w:before="360"/>
      </w:pPr>
      <w:r>
        <w:rPr>
          <w:rFonts w:ascii="Arial" w:cs="Arial" w:eastAsia="Arial" w:hAnsi="Arial"/>
          <w:b/>
          <w:bCs/>
          <w:color w:val="2E4A5C"/>
          <w:sz w:val="24"/>
          <w:szCs w:val="24"/>
        </w:rPr>
        <w:t xml:space="preserve">SECTION 4: RECOGNISING AND REPORTING CONCERNS</w:t>
      </w:r>
    </w:p>
    <w:p>
      <w:pPr>
        <w:spacing w:after="140" w:line="300"/>
      </w:pPr>
      <w:r>
        <w:rPr>
          <w:rFonts w:ascii="Arial" w:cs="Arial" w:eastAsia="Arial" w:hAnsi="Arial"/>
          <w:color w:val="3A3A3A"/>
          <w:sz w:val="21"/>
          <w:szCs w:val="21"/>
        </w:rPr>
        <w:t xml:space="preserve">Signs that someone may be a victim include a person who seems controlled by someone else, has no access to their own identity documents, is not paid directly, or appears frightened, withdrawn or unable to leave their workplace. This could be seen on a client site or at a contractor's premises.</w:t>
      </w:r>
    </w:p>
    <w:p>
      <w:pPr>
        <w:spacing w:after="140" w:line="300"/>
      </w:pPr>
      <w:r>
        <w:rPr>
          <w:rFonts w:ascii="Arial" w:cs="Arial" w:eastAsia="Arial" w:hAnsi="Arial"/>
          <w:color w:val="3A3A3A"/>
          <w:sz w:val="21"/>
          <w:szCs w:val="21"/>
        </w:rPr>
        <w:t xml:space="preserve">Anyone with a concern should tell the Managing Director straight away. If the concern is about the Managing Director, or they would rather not raise it inside the Company, they can use the routes in the Whistleblowing Policy. Anyone can also call the Modern Slavery and Exploitation Helpline on 08000 121 700. If someone is in immediate danger, call 999.</w:t>
      </w:r>
    </w:p>
    <w:p>
      <w:pPr>
        <w:pStyle w:val="Heading1"/>
        <w:pBdr>
          <w:bottom w:val="single" w:color="9A9A9A" w:sz="4" w:space="4"/>
        </w:pBdr>
        <w:spacing w:after="160" w:before="360"/>
      </w:pPr>
      <w:r>
        <w:rPr>
          <w:rFonts w:ascii="Arial" w:cs="Arial" w:eastAsia="Arial" w:hAnsi="Arial"/>
          <w:b/>
          <w:bCs/>
          <w:color w:val="2E4A5C"/>
          <w:sz w:val="24"/>
          <w:szCs w:val="24"/>
        </w:rPr>
        <w:t xml:space="preserve">SECTION 5: RESPONSIBILITIES</w:t>
      </w:r>
    </w:p>
    <w:p>
      <w:pPr>
        <w:pStyle w:val="ListParagraph"/>
        <w:numPr>
          <w:ilvl w:val="0"/>
          <w:numId w:val="2"/>
        </w:numPr>
        <w:spacing w:after="80" w:line="290"/>
      </w:pPr>
      <w:r>
        <w:rPr>
          <w:rFonts w:ascii="Arial" w:cs="Arial" w:eastAsia="Arial" w:hAnsi="Arial"/>
          <w:b/>
          <w:bCs/>
          <w:color w:val="3A3A3A"/>
          <w:sz w:val="21"/>
          <w:szCs w:val="21"/>
        </w:rPr>
        <w:t xml:space="preserve">Managing Director (⟦hsLead⟧):</w:t>
      </w:r>
      <w:r>
        <w:rPr>
          <w:rFonts w:ascii="Arial" w:cs="Arial" w:eastAsia="Arial" w:hAnsi="Arial"/>
          <w:color w:val="3A3A3A"/>
          <w:sz w:val="21"/>
          <w:szCs w:val="21"/>
        </w:rPr>
        <w:t xml:space="preserve"> owns this policy, carries out right to work checks, reviews supplier risk and deals with any concern.</w:t>
      </w:r>
    </w:p>
    <w:p>
      <w:pPr>
        <w:pStyle w:val="ListParagraph"/>
        <w:numPr>
          <w:ilvl w:val="0"/>
          <w:numId w:val="2"/>
        </w:numPr>
        <w:spacing w:after="80" w:line="290"/>
      </w:pPr>
      <w:r>
        <w:rPr>
          <w:rFonts w:ascii="Arial" w:cs="Arial" w:eastAsia="Arial" w:hAnsi="Arial"/>
          <w:b/>
          <w:bCs/>
          <w:color w:val="3A3A3A"/>
          <w:sz w:val="21"/>
          <w:szCs w:val="21"/>
        </w:rPr>
        <w:t xml:space="preserve">Everyone who works for ⟦short⟧:</w:t>
      </w:r>
      <w:r>
        <w:rPr>
          <w:rFonts w:ascii="Arial" w:cs="Arial" w:eastAsia="Arial" w:hAnsi="Arial"/>
          <w:color w:val="3A3A3A"/>
          <w:sz w:val="21"/>
          <w:szCs w:val="21"/>
        </w:rPr>
        <w:t xml:space="preserve"> follows this policy and reports any concern.</w:t>
      </w:r>
    </w:p>
    <w:p>
      <w:pPr>
        <w:pStyle w:val="Heading1"/>
        <w:pBdr>
          <w:bottom w:val="single" w:color="9A9A9A" w:sz="4" w:space="4"/>
        </w:pBdr>
        <w:spacing w:after="160" w:before="360"/>
      </w:pPr>
      <w:r>
        <w:rPr>
          <w:rFonts w:ascii="Arial" w:cs="Arial" w:eastAsia="Arial" w:hAnsi="Arial"/>
          <w:b/>
          <w:bCs/>
          <w:color w:val="2E4A5C"/>
          <w:sz w:val="24"/>
          <w:szCs w:val="24"/>
        </w:rPr>
        <w:t xml:space="preserve">SECTION 6: MONITORING AND REVIEW</w:t>
      </w:r>
    </w:p>
    <w:p>
      <w:pPr>
        <w:spacing w:after="140" w:line="300"/>
      </w:pPr>
      <w:r>
        <w:rPr>
          <w:rFonts w:ascii="Arial" w:cs="Arial" w:eastAsia="Arial" w:hAnsi="Arial"/>
          <w:color w:val="3A3A3A"/>
          <w:sz w:val="21"/>
          <w:szCs w:val="21"/>
        </w:rPr>
        <w:t xml:space="preserve">The Managing Director reviews this policy and the supply chain position in Section 2 every year at the annual team meeting, and records the review in the minutes. The measures checked each year are:</w:t>
      </w:r>
    </w:p>
    <w:p>
      <w:pPr>
        <w:pStyle w:val="ListParagraph"/>
        <w:numPr>
          <w:ilvl w:val="0"/>
          <w:numId w:val="2"/>
        </w:numPr>
        <w:spacing w:after="80" w:line="290"/>
      </w:pPr>
      <w:r>
        <w:rPr>
          <w:rFonts w:ascii="Arial" w:cs="Arial" w:eastAsia="Arial" w:hAnsi="Arial"/>
          <w:color w:val="3A3A3A"/>
          <w:sz w:val="21"/>
          <w:szCs w:val="21"/>
        </w:rPr>
        <w:t xml:space="preserve">every employee has a completed right to work check on file</w:t>
      </w:r>
    </w:p>
    <w:p>
      <w:pPr>
        <w:pStyle w:val="ListParagraph"/>
        <w:numPr>
          <w:ilvl w:val="0"/>
          <w:numId w:val="2"/>
        </w:numPr>
        <w:spacing w:after="80" w:line="290"/>
      </w:pPr>
      <w:r>
        <w:rPr>
          <w:rFonts w:ascii="Arial" w:cs="Arial" w:eastAsia="Arial" w:hAnsi="Arial"/>
          <w:color w:val="3A3A3A"/>
          <w:sz w:val="21"/>
          <w:szCs w:val="21"/>
        </w:rPr>
        <w:t xml:space="preserve">every employee is paid at least the National Living Wage</w:t>
      </w:r>
    </w:p>
    <w:p>
      <w:pPr>
        <w:pStyle w:val="ListParagraph"/>
        <w:numPr>
          <w:ilvl w:val="0"/>
          <w:numId w:val="2"/>
        </w:numPr>
        <w:spacing w:after="80" w:line="290"/>
      </w:pPr>
      <w:r>
        <w:rPr>
          <w:rFonts w:ascii="Arial" w:cs="Arial" w:eastAsia="Arial" w:hAnsi="Arial"/>
          <w:color w:val="3A3A3A"/>
          <w:sz w:val="21"/>
          <w:szCs w:val="21"/>
        </w:rPr>
        <w:t xml:space="preserve">no new labour supplier or overseas supplier has been engaged without the review in Section 3</w:t>
      </w:r>
    </w:p>
    <w:p>
      <w:pPr>
        <w:pStyle w:val="ListParagraph"/>
        <w:numPr>
          <w:ilvl w:val="0"/>
          <w:numId w:val="2"/>
        </w:numPr>
        <w:spacing w:after="80" w:line="290"/>
      </w:pPr>
      <w:r>
        <w:rPr>
          <w:rFonts w:ascii="Arial" w:cs="Arial" w:eastAsia="Arial" w:hAnsi="Arial"/>
          <w:color w:val="3A3A3A"/>
          <w:sz w:val="21"/>
          <w:szCs w:val="21"/>
        </w:rPr>
        <w:t xml:space="preserve">the number of concerns raised and how each was dealt with</w:t>
      </w:r>
    </w:p>
    <w:p>
      <w:pPr>
        <w:pStyle w:val="Heading1"/>
        <w:pBdr>
          <w:bottom w:val="single" w:color="9A9A9A" w:sz="4" w:space="4"/>
        </w:pBdr>
        <w:spacing w:after="160" w:before="360"/>
      </w:pPr>
      <w:r>
        <w:rPr>
          <w:rFonts w:ascii="Arial" w:cs="Arial" w:eastAsia="Arial" w:hAnsi="Arial"/>
          <w:b/>
          <w:bCs/>
          <w:color w:val="2E4A5C"/>
          <w:sz w:val="24"/>
          <w:szCs w:val="24"/>
        </w:rPr>
        <w:t xml:space="preserve">SECTION 7: LEGISLATION</w:t>
      </w:r>
    </w:p>
    <w:p>
      <w:pPr>
        <w:pStyle w:val="ListParagraph"/>
        <w:numPr>
          <w:ilvl w:val="0"/>
          <w:numId w:val="2"/>
        </w:numPr>
        <w:spacing w:after="80" w:line="290"/>
      </w:pPr>
      <w:r>
        <w:rPr>
          <w:rFonts w:ascii="Arial" w:cs="Arial" w:eastAsia="Arial" w:hAnsi="Arial"/>
          <w:color w:val="3A3A3A"/>
          <w:sz w:val="21"/>
          <w:szCs w:val="21"/>
        </w:rPr>
        <w:t xml:space="preserve">Modern Slavery Act 2015</w:t>
      </w:r>
    </w:p>
    <w:p>
      <w:pPr>
        <w:pStyle w:val="ListParagraph"/>
        <w:numPr>
          <w:ilvl w:val="0"/>
          <w:numId w:val="2"/>
        </w:numPr>
        <w:spacing w:after="80" w:line="290"/>
      </w:pPr>
      <w:r>
        <w:rPr>
          <w:rFonts w:ascii="Arial" w:cs="Arial" w:eastAsia="Arial" w:hAnsi="Arial"/>
          <w:color w:val="3A3A3A"/>
          <w:sz w:val="21"/>
          <w:szCs w:val="21"/>
        </w:rPr>
        <w:t xml:space="preserve">Immigration, Asylum and Nationality Act 2006</w:t>
      </w:r>
    </w:p>
    <w:p>
      <w:pPr>
        <w:pStyle w:val="ListParagraph"/>
        <w:numPr>
          <w:ilvl w:val="0"/>
          <w:numId w:val="2"/>
        </w:numPr>
        <w:spacing w:after="80" w:line="290"/>
      </w:pPr>
      <w:r>
        <w:rPr>
          <w:rFonts w:ascii="Arial" w:cs="Arial" w:eastAsia="Arial" w:hAnsi="Arial"/>
          <w:color w:val="3A3A3A"/>
          <w:sz w:val="21"/>
          <w:szCs w:val="21"/>
        </w:rPr>
        <w:t xml:space="preserve">National Minimum Wage Act 1998</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
            <w:r>
              <w:rPr>
                <w:rFonts w:ascii="Arial" w:cs="Arial" w:eastAsia="Arial" w:hAnsi="Arial"/>
                <w:color w:val="3A3A3A"/>
                <w:sz w:val="21"/>
                <w:szCs w:val="21"/>
                <w:highlight w:val="yellow"/>
              </w:rPr>
              <w:t xml:space="preserve">May 2025</w:t>
            </w:r>
            <w:commentRangeEnd w:id="1"/>
            <w:r>
              <w:commentReference w:id="1"/>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Reviewed and updated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3.0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2"/>
            <w:r>
              <w:rPr>
                <w:rFonts w:ascii="Arial" w:cs="Arial" w:eastAsia="Arial" w:hAnsi="Arial"/>
                <w:color w:val="3A3A3A"/>
                <w:sz w:val="21"/>
                <w:szCs w:val="21"/>
                <w:highlight w:val="yellow"/>
              </w:rPr>
              <w:t xml:space="preserve">July 2026</w:t>
            </w:r>
            <w:commentRangeEnd w:id="2"/>
            <w:r>
              <w:commentReference w:id="2"/>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Reviewed and updated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4.0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Rewritten to reflect ⟦short⟧'s actual supply chain. Audit, labour monitoring and group statement content removed. Measures and reporting routes added.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Modern Slavery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Modern Slavery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