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400"/>
        <w:jc w:val="center"/>
      </w:pPr>
      <w:r>
        <w:drawing>
          <wp:inline distT="0" distB="0" distL="0" distR="0">
            <wp:extent cx="3238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943225"/>
                    </a:xfrm>
                    <a:prstGeom prst="rect">
                      <a:avLst/>
                    </a:prstGeom>
                  </pic:spPr>
                </pic:pic>
              </a:graphicData>
            </a:graphic>
          </wp:inline>
        </w:drawing>
      </w:r>
    </w:p>
    <w:p>
      <w:pPr>
        <w:spacing w:after="700"/>
        <w:jc w:val="center"/>
      </w:pPr>
      <w:r>
        <w:rPr>
          <w:rFonts w:ascii="Aptos Black" w:cs="Aptos Black" w:eastAsia="Aptos Black" w:hAnsi="Aptos Black"/>
          <w:b/>
          <w:bCs/>
          <w:color w:val="000000"/>
          <w:sz w:val="34"/>
          <w:szCs w:val="34"/>
        </w:rPr>
        <w:t xml:space="preserve">NEW STARTER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Date</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⟦issueMonth⟧</w:t>
            </w:r>
          </w:p>
        </w:tc>
      </w:tr>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Author</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Simon Archer (Archer Health &amp; Safety)</w:t>
            </w:r>
          </w:p>
        </w:tc>
      </w:tr>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Review Date</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⟦reviewMonth⟧</w:t>
            </w:r>
          </w:p>
        </w:tc>
      </w:tr>
    </w:tbl>
    <w:p>
      <w:pPr>
        <w:spacing w:after="1400"/>
      </w:pPr>
    </w:p>
    <w:p>
      <w:pPr>
        <w:spacing w:after="200"/>
        <w:jc w:val="center"/>
      </w:pPr>
      <w:r>
        <w:drawing>
          <wp:inline distT="0" distB="0" distL="0" distR="0">
            <wp:extent cx="5143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 cy="466725"/>
                    </a:xfrm>
                    <a:prstGeom prst="rect">
                      <a:avLst/>
                    </a:prstGeom>
                  </pic:spPr>
                </pic:pic>
              </a:graphicData>
            </a:graphic>
          </wp:inline>
        </w:drawing>
      </w:r>
    </w:p>
    <w:p>
      <w:pPr>
        <w:shd w:fill="1B1B1B" w:color="auto" w:val="clear"/>
        <w:spacing w:after="200" w:before="200"/>
        <w:jc w:val="center"/>
      </w:pPr>
      <w:r>
        <w:rPr>
          <w:rFonts w:ascii="Aptos" w:cs="Aptos" w:eastAsia="Aptos" w:hAnsi="Aptos"/>
          <w:color w:val="FFFFFF"/>
          <w:sz w:val="22"/>
          <w:szCs w:val="22"/>
        </w:rPr>
        <w:t xml:space="preserve">⟦legalName⟧</w:t>
      </w:r>
    </w:p>
    <w:p>
      <w:r>
        <w:br w:type="page"/>
      </w:r>
    </w:p>
    <w:p>
      <w:pPr>
        <w:pStyle w:val="Heading1"/>
        <w:spacing w:after="120" w:before="320"/>
      </w:pPr>
      <w:r>
        <w:rPr>
          <w:rFonts w:ascii="Aptos Black" w:cs="Aptos Black" w:eastAsia="Aptos Black" w:hAnsi="Aptos Black"/>
          <w:b/>
          <w:bCs/>
          <w:color w:val="E3DE00"/>
          <w:sz w:val="32"/>
          <w:szCs w:val="32"/>
        </w:rPr>
        <w:t xml:space="preserve">HOW THIS CHECKLIST IS USED</w:t>
      </w:r>
    </w:p>
    <w:p>
      <w:pPr>
        <w:spacing w:after="140" w:line="264"/>
      </w:pPr>
      <w:r>
        <w:rPr>
          <w:rFonts w:ascii="Aptos" w:cs="Aptos" w:eastAsia="Aptos" w:hAnsi="Aptos"/>
          <w:color w:val="000000"/>
          <w:sz w:val="22"/>
          <w:szCs w:val="22"/>
        </w:rPr>
        <w:t xml:space="preserve">Completed by the Managing Director for every new starter, on or before their first day. ⟦short⟧ recruits occasionally rather than continuously, and that is the risk this addresses. Where hiring is rare there is no routine to fall back on, and the checks that get missed are the ones nobody has done for two years.</w:t>
      </w:r>
    </w:p>
    <w:p>
      <w:pPr>
        <w:spacing w:after="140" w:line="264"/>
      </w:pPr>
      <w:r>
        <w:rPr>
          <w:rFonts w:ascii="Aptos" w:cs="Aptos" w:eastAsia="Aptos" w:hAnsi="Aptos"/>
          <w:color w:val="000000"/>
          <w:sz w:val="22"/>
          <w:szCs w:val="22"/>
        </w:rPr>
        <w:t xml:space="preserve">Part 1 must be finished before the person starts work. The right to work check in particular gives no statutory excuse at all if it is done afterwards.</w:t>
      </w:r>
    </w:p>
    <w:p>
      <w:pPr>
        <w:spacing w:after="140" w:line="264"/>
      </w:pPr>
      <w:r>
        <w:rPr>
          <w:rFonts w:ascii="Aptos" w:cs="Aptos" w:eastAsia="Aptos" w:hAnsi="Aptos"/>
          <w:color w:val="000000"/>
          <w:sz w:val="22"/>
          <w:szCs w:val="22"/>
        </w:rPr>
        <w:t xml:space="preserve">The signed checklist is saved in the personnel folder with the signed Policy Acknowledgement Form.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rHeight w:val="380" w:hRule="atLeast"/>
        </w:trPr>
        <w:tc>
          <w:tcPr>
            <w:tcW w:type="dxa" w:w="34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Name</w:t>
            </w:r>
          </w:p>
        </w:tc>
        <w:tc>
          <w:tcPr>
            <w:tcW w:type="dxa" w:w="59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80" w:hRule="atLeast"/>
        </w:trPr>
        <w:tc>
          <w:tcPr>
            <w:tcW w:type="dxa" w:w="34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Job title</w:t>
            </w:r>
          </w:p>
        </w:tc>
        <w:tc>
          <w:tcPr>
            <w:tcW w:type="dxa" w:w="59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80" w:hRule="atLeast"/>
        </w:trPr>
        <w:tc>
          <w:tcPr>
            <w:tcW w:type="dxa" w:w="34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Start date</w:t>
            </w:r>
          </w:p>
        </w:tc>
        <w:tc>
          <w:tcPr>
            <w:tcW w:type="dxa" w:w="59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80" w:hRule="atLeast"/>
        </w:trPr>
        <w:tc>
          <w:tcPr>
            <w:tcW w:type="dxa" w:w="34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Completed by (Managing Director)</w:t>
            </w:r>
          </w:p>
        </w:tc>
        <w:tc>
          <w:tcPr>
            <w:tcW w:type="dxa" w:w="596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80" w:hRule="atLeast"/>
        </w:trPr>
        <w:tc>
          <w:tcPr>
            <w:tcW w:type="dxa" w:w="340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Date</w:t>
            </w:r>
          </w:p>
        </w:tc>
        <w:tc>
          <w:tcPr>
            <w:tcW w:type="dxa" w:w="596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pPr>
        <w:pStyle w:val="Heading1"/>
        <w:spacing w:after="120" w:before="320"/>
      </w:pPr>
      <w:r>
        <w:rPr>
          <w:rFonts w:ascii="Aptos Black" w:cs="Aptos Black" w:eastAsia="Aptos Black" w:hAnsi="Aptos Black"/>
          <w:b/>
          <w:bCs/>
          <w:color w:val="E3DE00"/>
          <w:sz w:val="32"/>
          <w:szCs w:val="32"/>
        </w:rPr>
        <w:t xml:space="preserve">PART 1: BEFORE THEY START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400"/>
        <w:gridCol w:w="1000"/>
        <w:gridCol w:w="1000"/>
        <w:gridCol w:w="1340"/>
      </w:tblGrid>
      <w:tr>
        <w:trPr>
          <w:tblHeader/>
        </w:trPr>
        <w:tc>
          <w:tcPr>
            <w:tcW w:type="dxa" w:w="620"/>
            <w:shd w:fill="1B1B1B" w:color="auto" w:val="clear"/>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4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Pre-employment</w:t>
            </w:r>
          </w:p>
        </w:tc>
        <w:tc>
          <w:tcPr>
            <w:tcW w:type="dxa" w:w="10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Done</w:t>
            </w:r>
          </w:p>
        </w:tc>
        <w:tc>
          <w:tcPr>
            <w:tcW w:type="dxa" w:w="10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N/A</w:t>
            </w:r>
          </w:p>
        </w:tc>
        <w:tc>
          <w:tcPr>
            <w:tcW w:type="dxa" w:w="134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Initials</w:t>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1</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Right to work check completed using a prescribed route, BEFORE the start date, and the Right to Work Check Record signed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2</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Copy of the document or online check response saved to the personnel folder and dated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3</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Where permission is time-limited, the expiry date entered in the Managing Director's calendar with reminders</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4</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Any restriction on the type of work or on weekly hours recorded and the Managing Director told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5</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Identity, address and National Insurance number verified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6</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References received and verified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7</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Qualifications and professional registration verified where the role requires them</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8</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Contract of employment issued and the signed copy returned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9</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Payroll set up with the external accountant, paid to an account in the employee's own name</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10</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Emergency contact details recorded, and any health information relevant to their work</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r>
        <w:br w:type="page"/>
      </w:r>
    </w:p>
    <w:p>
      <w:pPr>
        <w:pStyle w:val="Heading1"/>
        <w:spacing w:after="120" w:before="320"/>
      </w:pPr>
      <w:r>
        <w:rPr>
          <w:rFonts w:ascii="Aptos Black" w:cs="Aptos Black" w:eastAsia="Aptos Black" w:hAnsi="Aptos Black"/>
          <w:b/>
          <w:bCs/>
          <w:color w:val="E3DE00"/>
          <w:sz w:val="32"/>
          <w:szCs w:val="32"/>
        </w:rPr>
        <w:t xml:space="preserve">PART 2: POLICIES ISSUED AND ACKNOWLEDGED (MANDATORY)</w:t>
      </w:r>
    </w:p>
    <w:p>
      <w:pPr>
        <w:spacing w:after="140" w:line="264"/>
      </w:pPr>
      <w:r>
        <w:rPr>
          <w:rFonts w:ascii="Aptos" w:cs="Aptos" w:eastAsia="Aptos" w:hAnsi="Aptos"/>
          <w:i/>
          <w:iCs/>
          <w:color w:val="000000"/>
          <w:sz w:val="20"/>
          <w:szCs w:val="20"/>
        </w:rPr>
        <w:t xml:space="preserve">The full policy pack is emailed to the new starter before their start date, and the Managing Director talks through the items below on day one. Do not tick a line unless it was actually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400"/>
        <w:gridCol w:w="1000"/>
        <w:gridCol w:w="1000"/>
        <w:gridCol w:w="1340"/>
      </w:tblGrid>
      <w:tr>
        <w:trPr>
          <w:tblHeader/>
        </w:trPr>
        <w:tc>
          <w:tcPr>
            <w:tcW w:type="dxa" w:w="620"/>
            <w:shd w:fill="1B1B1B" w:color="auto" w:val="clear"/>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4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Policies</w:t>
            </w:r>
          </w:p>
        </w:tc>
        <w:tc>
          <w:tcPr>
            <w:tcW w:type="dxa" w:w="10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Done</w:t>
            </w:r>
          </w:p>
        </w:tc>
        <w:tc>
          <w:tcPr>
            <w:tcW w:type="dxa" w:w="10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N/A</w:t>
            </w:r>
          </w:p>
        </w:tc>
        <w:tc>
          <w:tcPr>
            <w:tcW w:type="dxa" w:w="134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Initials</w:t>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1</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Full policy pack emailed before the start date, and access to the shared document folder set up and tested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2</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Health &amp; Safety Policy talked through, including lone working and site visits</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3</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Anti-Bribery &amp; Corruption Policy talked through, including the gifts and hospitality thresholds, the Register, the ban on commission or referral fees from manufacturers and installers, and why our specifications are written on technical merit</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4</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Competition and fee bidding covered: no discussion of fees with competitors, and we never submit a cover price</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5</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Prevention of the Criminal Facilitation of Tax Evasion Policy covered, in particular that a request from a client to change what an invoice says is refused and reported the same day</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6</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Whistleblowing Policy talked through, including the route to the Managing Director and the external routes to ACAS and Protect</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7</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Sexual Harassment Prevention Policy talked through, including digital and video-call conduct, harassment by clients and contractors, the right to leave a client site immediately, and the reporting routes card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8</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Harassment &amp; Bullying, Equal Opportunities and Fairness &amp; Inclusion policies issued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9</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GDPR, Privacy and Information Management policies issued, and data handling on personal devices explained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10</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Drug &amp; Alcohol Policy issued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11</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Disciplinary and grievance arrangements explained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12</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Policy Acknowledgement Form completed and signed by the employee and the Managing Director</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r>
        <w:br w:type="page"/>
      </w:r>
    </w:p>
    <w:p>
      <w:pPr>
        <w:pStyle w:val="Heading1"/>
        <w:spacing w:after="120" w:before="320"/>
      </w:pPr>
      <w:r>
        <w:rPr>
          <w:rFonts w:ascii="Aptos Black" w:cs="Aptos Black" w:eastAsia="Aptos Black" w:hAnsi="Aptos Black"/>
          <w:b/>
          <w:bCs/>
          <w:color w:val="E3DE00"/>
          <w:sz w:val="32"/>
          <w:szCs w:val="32"/>
        </w:rPr>
        <w:t xml:space="preserve">PART 3: WORKING ARRANGEMENTS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400"/>
        <w:gridCol w:w="1000"/>
        <w:gridCol w:w="1000"/>
        <w:gridCol w:w="1340"/>
      </w:tblGrid>
      <w:tr>
        <w:trPr>
          <w:tblHeader/>
        </w:trPr>
        <w:tc>
          <w:tcPr>
            <w:tcW w:type="dxa" w:w="620"/>
            <w:shd w:fill="1B1B1B" w:color="auto" w:val="clear"/>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4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Practical set-up</w:t>
            </w:r>
          </w:p>
        </w:tc>
        <w:tc>
          <w:tcPr>
            <w:tcW w:type="dxa" w:w="10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Done</w:t>
            </w:r>
          </w:p>
        </w:tc>
        <w:tc>
          <w:tcPr>
            <w:tcW w:type="dxa" w:w="10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N/A</w:t>
            </w:r>
          </w:p>
        </w:tc>
        <w:tc>
          <w:tcPr>
            <w:tcW w:type="dxa" w:w="134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18"/>
                <w:szCs w:val="18"/>
              </w:rPr>
              <w:t xml:space="preserve">Initials</w:t>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1</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Equipment issued and recorded: laptop, phone, any other Company property</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2</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The shared document folder, email and any project systems set up, and file naming and storage conventions explained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3</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Display screen equipment assessment completed for their home working set-up</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4</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Home working arrangements discussed, including hours, breaks and keeping in contact</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5</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Site visit and survey procedure explained: visits arranged in advance, escorted by the client, logged and approved beforehand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6</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Lone working arrangements explained, including checking in and out and who to call</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7</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The right to leave any site or meeting immediately if they feel unsafe or are being harassed, without needing permission</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8</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CDM 2015 designer duties and the limits of their own competence explained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9</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Accident, incident and near miss reporting explained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10</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Absence and holiday reporting explained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11</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Expenses procedure explained, including that receipts are needed for every claim</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12</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Introduced to all colleagues and to the current project workload</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13</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Probation review date set</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r>
        <w:trPr>
          <w:trHeight w:val="340" w:hRule="atLeast"/>
        </w:trPr>
        <w:tc>
          <w:tcPr>
            <w:tcW w:type="dxa" w:w="620"/>
            <w:tcMar>
              <w:top w:type="dxa" w:w="60"/>
              <w:left w:type="dxa" w:w="110"/>
              <w:bottom w:type="dxa" w:w="60"/>
              <w:right w:type="dxa" w:w="110"/>
            </w:tcMar>
          </w:tcPr>
          <w:p>
            <w:pPr>
              <w:spacing w:after="40" w:before="40"/>
              <w:jc w:val="center"/>
            </w:pPr>
            <w:r>
              <w:rPr>
                <w:rFonts w:ascii="Aptos" w:cs="Aptos" w:eastAsia="Aptos" w:hAnsi="Aptos"/>
                <w:sz w:val="18"/>
                <w:szCs w:val="18"/>
              </w:rPr>
              <w:t xml:space="preserve">14</w:t>
            </w:r>
          </w:p>
        </w:tc>
        <w:tc>
          <w:tcPr>
            <w:tcW w:type="dxa" w:w="5400"/>
            <w:tcMar>
              <w:top w:type="dxa" w:w="60"/>
              <w:left w:type="dxa" w:w="110"/>
              <w:bottom w:type="dxa" w:w="60"/>
              <w:right w:type="dxa" w:w="110"/>
            </w:tcMar>
          </w:tcPr>
          <w:p>
            <w:pPr>
              <w:spacing w:after="40" w:before="40"/>
            </w:pPr>
            <w:r>
              <w:rPr>
                <w:rFonts w:ascii="Aptos" w:cs="Aptos" w:eastAsia="Aptos" w:hAnsi="Aptos"/>
                <w:sz w:val="20"/>
                <w:szCs w:val="20"/>
              </w:rPr>
              <w:t xml:space="preserve">First-month check-in booked with the Managing Director, covering how they are finding it and whether they have seen or experienced anything covered by the conduct policies</w:t>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4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pPr>
        <w:pStyle w:val="Heading1"/>
        <w:spacing w:after="120" w:before="320"/>
      </w:pPr>
      <w:r>
        <w:rPr>
          <w:rFonts w:ascii="Aptos Black" w:cs="Aptos Black" w:eastAsia="Aptos Black" w:hAnsi="Aptos Black"/>
          <w:b/>
          <w:bCs/>
          <w:color w:val="E3DE00"/>
          <w:sz w:val="32"/>
          <w:szCs w:val="32"/>
        </w:rPr>
        <w:t xml:space="preserve">SIGN-OFF</w:t>
      </w:r>
    </w:p>
    <w:p>
      <w:pPr>
        <w:spacing w:after="140" w:line="264"/>
      </w:pPr>
      <w:r>
        <w:rPr>
          <w:rFonts w:ascii="Aptos" w:cs="Aptos" w:eastAsia="Aptos" w:hAnsi="Aptos"/>
          <w:color w:val="000000"/>
          <w:sz w:val="22"/>
          <w:szCs w:val="22"/>
        </w:rPr>
        <w:t xml:space="preserve">The employee confirms the induction happened and that each item ticked was actually covered. The Managing Director confirms that nothing in Part 1 was left undone and that the person did not begin work before those checks were complete.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Employee signature</w:t>
            </w:r>
          </w:p>
        </w:tc>
        <w:tc>
          <w:tcPr>
            <w:tcW w:type="dxa" w:w="234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Date</w:t>
            </w:r>
          </w:p>
        </w:tc>
        <w:tc>
          <w:tcPr>
            <w:tcW w:type="dxa" w:w="234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Managing Director signature</w:t>
            </w:r>
          </w:p>
        </w:tc>
        <w:tc>
          <w:tcPr>
            <w:tcW w:type="dxa" w:w="2340"/>
            <w:shd w:fill="F2F2F2" w:color="auto" w:val="clear"/>
            <w:tcMar>
              <w:top w:type="dxa" w:w="60"/>
              <w:left w:type="dxa" w:w="110"/>
              <w:bottom w:type="dxa" w:w="60"/>
              <w:right w:type="dxa" w:w="110"/>
            </w:tcMar>
          </w:tcPr>
          <w:p>
            <w:pPr>
              <w:spacing w:after="40" w:before="40"/>
            </w:pPr>
            <w:r>
              <w:rPr>
                <w:rFonts w:ascii="Aptos" w:cs="Aptos" w:eastAsia="Aptos" w:hAnsi="Aptos"/>
                <w:b/>
                <w:bCs/>
                <w:sz w:val="20"/>
                <w:szCs w:val="20"/>
              </w:rPr>
              <w:t xml:space="preserve">Date</w:t>
            </w:r>
          </w:p>
        </w:tc>
      </w:tr>
      <w:tr>
        <w:trPr>
          <w:trHeight w:val="460" w:hRule="atLeast"/>
        </w:trPr>
        <w:tc>
          <w:tcPr>
            <w:tcW w:type="dxa" w:w="234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34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34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234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p>
      <w:pPr>
        <w:spacing w:after="200"/>
      </w:pPr>
    </w:p>
    <w:p>
      <w:pPr>
        <w:spacing w:after="140" w:line="264"/>
      </w:pPr>
      <w:r>
        <w:rPr>
          <w:rFonts w:ascii="Aptos" w:cs="Aptos" w:eastAsia="Aptos" w:hAnsi="Aptos"/>
          <w:i/>
          <w:iCs/>
          <w:color w:val="000000"/>
          <w:sz w:val="18"/>
          <w:szCs w:val="18"/>
        </w:rPr>
        <w:t xml:space="preserve">Save to the personnel folder with the signed Policy Acknowledgement Form.</w:t>
      </w:r>
    </w:p>
    <w:sectPr>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6"/>
      </w:pBdr>
      <w:spacing w:after="0" w:before="120"/>
      <w:jc w:val="center"/>
    </w:pPr>
    <w:r>
      <w:rPr>
        <w:rFonts w:ascii="Helvetica" w:cs="Helvetica" w:eastAsia="Helvetica" w:hAnsi="Helvetica"/>
        <w:sz w:val="14"/>
        <w:szCs w:val="14"/>
      </w:rPr>
      <w:t xml:space="preserve">Registered Office: ⟦address⟧</w:t>
    </w:r>
  </w:p>
  <w:p>
    <w:pPr>
      <w:jc w:val="center"/>
    </w:pPr>
    <w:r>
      <w:rPr>
        <w:rFonts w:ascii="Calibri" w:cs="Calibri" w:eastAsia="Calibri" w:hAnsi="Calibri"/>
        <w:sz w:val="14"/>
        <w:szCs w:val="14"/>
      </w:rPr>
      <w:t xml:space="preserve">Company number: ⟦companyNo⟧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Aptos" w:cs="Aptos" w:eastAsia="Aptos" w:hAnsi="Aptos"/>
        <w:sz w:val="22"/>
        <w:szCs w:val="22"/>
      </w:rPr>
    </w:lvl>
    <w:lvl w:ilvl="1" w15:tentative="1">
      <w:start w:val="1"/>
      <w:numFmt w:val="bullet"/>
      <w:lvlText w:val="–"/>
      <w:lvlJc w:val="left"/>
      <w:pPr>
        <w:ind w:left="920" w:hanging="240"/>
      </w:pPr>
      <w:rPr>
        <w:rFonts w:ascii="Aptos" w:cs="Aptos" w:eastAsia="Aptos" w:hAnsi="Apto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ptos Black" w:cs="Aptos Black" w:eastAsia="Aptos Black" w:hAnsi="Aptos Black"/>
      <w:b/>
      <w:bCs/>
      <w:color w:val="E3DE00"/>
      <w:sz w:val="32"/>
      <w:szCs w:val="32"/>
    </w:rPr>
  </w:style>
  <w:style w:type="paragraph" w:styleId="Heading2">
    <w:name w:val="Heading 2"/>
    <w:basedOn w:val="Normal"/>
    <w:next w:val="Normal"/>
    <w:qFormat/>
    <w:rPr>
      <w:rFonts w:ascii="Calibri" w:cs="Calibri" w:eastAsia="Calibri" w:hAnsi="Calibri"/>
      <w:b/>
      <w:bCs/>
      <w:color w:val="002060"/>
      <w:sz w:val="24"/>
      <w:szCs w:val="24"/>
    </w:rPr>
  </w:style>
  <w:style w:type="paragraph" w:styleId="Heading3">
    <w:name w:val="Heading 3"/>
    <w:basedOn w:val="Normal"/>
    <w:next w:val="Normal"/>
    <w:qFormat/>
    <w:rPr>
      <w:rFonts w:ascii="Calibri" w:cs="Calibri" w:eastAsia="Calibri" w:hAnsi="Calibri"/>
      <w:b/>
      <w:bCs/>
      <w:color w:val="002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image" Target="media/66a9ed7a9db097255072182a00c6bb9ae9a5e240.png"/><Relationship Id="rId9" Type="http://schemas.openxmlformats.org/officeDocument/2006/relationships/image" Target="media/d00fe7aa5f23116cc21499fe913d02e20ff6dc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New Starter Checklist</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