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260" w:before="400"/><w:jc w:val="center"/></w:pPr><w:r><w:drawing><wp:inline distT="0" distB="0" distL="0" distR="0"><wp:extent cx="323850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3238500" cy="2943225"/></a:xfrm><a:prstGeom prst="rect"><a:avLst/></a:prstGeom></pic:spPr></pic:pic></a:graphicData></a:graphic></wp:inline></w:drawing></w:r></w:p><w:p><w:pPr><w:spacing w:after="700"/><w:jc w:val="center"/></w:pPr><w:r><w:rPr><w:rFonts w:ascii="Aptos Black" w:cs="Aptos Black" w:eastAsia="Aptos Black" w:hAnsi="Aptos Black"/><w:b/><w:bCs/><w:color w:val="000000"/><w:sz w:val="34"/><w:szCs w:val="34"/></w:rPr><w:t xml:space="preserve">ORGANISATION AND SCOPE STATEMENT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Mar><w:top w:type="dxa" w:w="60"/><w:left w:type="dxa" w:w="110"/><w:bottom w:type="dxa" w:w="60"/><w:right w:type="dxa" w:w="110"/></w:tcMar></w:tcPr><w:p><w:pPr><w:spacing w:after="40" w:before="40"/></w:pPr><w:r><w:rPr><w:rFonts w:ascii="Aptos" w:cs="Aptos" w:eastAsia="Aptos" w:hAnsi="Aptos"/><w:b/><w:bCs/><w:sz w:val="22"/><w:szCs w:val="22"/></w:rPr><w:t xml:space="preserve">Date</w:t></w:r></w:p></w:tc><w:tc><w:tcPr><w:tcW w:type="dxa" w:w="4680"/><w:tcMar><w:top w:type="dxa" w:w="60"/><w:left w:type="dxa" w:w="110"/><w:bottom w:type="dxa" w:w="60"/><w:right w:type="dxa" w:w="110"/></w:tcMar></w:tcPr><w:p><w:pPr><w:spacing w:after="40" w:before="40"/></w:pPr><w:r><w:rPr><w:rFonts w:ascii="Aptos" w:cs="Aptos" w:eastAsia="Aptos" w:hAnsi="Aptos"/><w:sz w:val="22"/><w:szCs w:val="22"/></w:rPr><w:t xml:space="preserve">⟦issueMonth⟧</w:t></w:r></w:p></w:tc></w:tr><w:tr><w:tc><w:tcPr><w:tcW w:type="dxa" w:w="4680"/><w:tcMar><w:top w:type="dxa" w:w="60"/><w:left w:type="dxa" w:w="110"/><w:bottom w:type="dxa" w:w="60"/><w:right w:type="dxa" w:w="110"/></w:tcMar></w:tcPr><w:p><w:pPr><w:spacing w:after="40" w:before="40"/></w:pPr><w:r><w:rPr><w:rFonts w:ascii="Aptos" w:cs="Aptos" w:eastAsia="Aptos" w:hAnsi="Aptos"/><w:b/><w:bCs/><w:sz w:val="22"/><w:szCs w:val="22"/></w:rPr><w:t xml:space="preserve">Author</w:t></w:r></w:p></w:tc><w:tc><w:tcPr><w:tcW w:type="dxa" w:w="4680"/><w:tcMar><w:top w:type="dxa" w:w="60"/><w:left w:type="dxa" w:w="110"/><w:bottom w:type="dxa" w:w="60"/><w:right w:type="dxa" w:w="110"/></w:tcMar></w:tcPr><w:p><w:pPr><w:spacing w:after="40" w:before="40"/></w:pPr><w:r><w:rPr><w:rFonts w:ascii="Aptos" w:cs="Aptos" w:eastAsia="Aptos" w:hAnsi="Aptos"/><w:sz w:val="22"/><w:szCs w:val="22"/></w:rPr><w:t xml:space="preserve">Simon Archer (Archer Health &amp; Safety)</w:t></w:r></w:p></w:tc></w:tr><w:tr><w:tc><w:tcPr><w:tcW w:type="dxa" w:w="4680"/><w:tcMar><w:top w:type="dxa" w:w="60"/><w:left w:type="dxa" w:w="110"/><w:bottom w:type="dxa" w:w="60"/><w:right w:type="dxa" w:w="110"/></w:tcMar></w:tcPr><w:p><w:pPr><w:spacing w:after="40" w:before="40"/></w:pPr><w:r><w:rPr><w:rFonts w:ascii="Aptos" w:cs="Aptos" w:eastAsia="Aptos" w:hAnsi="Aptos"/><w:b/><w:bCs/><w:sz w:val="22"/><w:szCs w:val="22"/></w:rPr><w:t xml:space="preserve">Review Date</w:t></w:r></w:p></w:tc><w:tc><w:tcPr><w:tcW w:type="dxa" w:w="4680"/><w:tcMar><w:top w:type="dxa" w:w="60"/><w:left w:type="dxa" w:w="110"/><w:bottom w:type="dxa" w:w="60"/><w:right w:type="dxa" w:w="110"/></w:tcMar></w:tcPr><w:p><w:pPr><w:spacing w:after="40" w:before="40"/></w:pPr><w:r><w:rPr><w:rFonts w:ascii="Aptos" w:cs="Aptos" w:eastAsia="Aptos" w:hAnsi="Aptos"/><w:sz w:val="22"/><w:szCs w:val="22"/></w:rPr><w:t xml:space="preserve">⟦reviewMonth⟧</w:t></w:r></w:p></w:tc></w:tr></w:tbl><w:p><w:pPr><w:spacing w:after="1400"/></w:pPr></w:p><w:p><w:pPr><w:spacing w:after="200"/><w:jc w:val="center"/></w:pPr><w:r><w:drawing><wp:inline distT="0" distB="0" distL="0" distR="0"><wp:extent cx="514350" cy="466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514350" cy="466725"/></a:xfrm><a:prstGeom prst="rect"><a:avLst/></a:prstGeom></pic:spPr></pic:pic></a:graphicData></a:graphic></wp:inline></w:drawing></w:r></w:p><w:p><w:pPr><w:shd w:fill="1B1B1B" w:color="auto" w:val="clear"/><w:spacing w:after="200" w:before="200"/><w:jc w:val="center"/></w:pPr><w:r><w:rPr><w:rFonts w:ascii="Aptos" w:cs="Aptos" w:eastAsia="Aptos" w:hAnsi="Aptos"/><w:color w:val="FFFFFF"/><w:sz w:val="22"/><w:szCs w:val="22"/></w:rPr><w:t xml:space="preserve">⟦legalName⟧</w:t></w:r></w:p><w:p><w:r><w:br w:type="page"/></w:r></w:p><w:p><w:pPr><w:pStyle w:val="Heading1"/><w:spacing w:after="120" w:before="320"/></w:pPr><w:r><w:rPr><w:rFonts w:ascii="Aptos Black" w:cs="Aptos Black" w:eastAsia="Aptos Black" w:hAnsi="Aptos Black"/><w:b/><w:bCs/><w:color w:val="E3DE00"/><w:sz w:val="32"/><w:szCs w:val="32"/></w:rPr><w:t xml:space="preserve">SECTION 1: WHY THIS DOCUMENT EXISTS</w:t></w:r></w:p><w:p><w:pPr><w:spacing w:after="140" w:line="264"/></w:pPr><w:r><w:rPr><w:rFonts w:ascii="Aptos" w:cs="Aptos" w:eastAsia="Aptos" w:hAnsi="Aptos"/><w:color w:val="000000"/><w:sz w:val="22"/><w:szCs w:val="22"/></w:rPr><w:t xml:space="preserve">A policy that records how many people the Company employs goes out of date the day someone joins or leaves. In a business of this size that can happen more than once a year, and nobody is going to reissue and re-sign a set of policies every time it does. The result, in most small firms, is a folder of documents that quietly stop being true.</w:t></w:r></w:p><w:p><w:pPr><w:spacing w:after="140" w:line="264"/></w:pPr><w:r><w:rPr><w:rFonts w:ascii="Aptos" w:cs="Aptos" w:eastAsia="Aptos" w:hAnsi="Aptos"/><w:color w:val="000000"/><w:sz w:val="22"/><w:szCs w:val="22"/></w:rPr><w:t xml:space="preserve">This statement solves that. Every fact about ⟦legalName⟧ that changes as the business changes is recorded here and nowhere else. The policies describe standing rules that hold whatever the headcount is. They point to this sheet for the specifics.</w:t></w:r></w:p><w:p><w:pPr><w:spacing w:after="140" w:line="264"/></w:pPr><w:r><w:rPr><w:rFonts w:ascii="Aptos" w:cs="Aptos" w:eastAsia="Aptos" w:hAnsi="Aptos"/><w:b/><w:bCs/><w:color w:val="000000"/><w:sz w:val="22"/><w:szCs w:val="22"/></w:rPr><w:t xml:space="preserve">When something changes, update this one page. The policies do not need to be reissued, re-signed or re-acknowledged.</w:t></w:r></w:p><w:p><w:pPr><w:spacing w:after="140" w:line="264"/></w:pPr><w:r><w:rPr><w:rFonts w:ascii="Aptos" w:cs="Aptos" w:eastAsia="Aptos" w:hAnsi="Aptos"/><w:color w:val="000000"/><w:sz w:val="22"/><w:szCs w:val="22"/></w:rPr><w:t xml:space="preserve">This statement is issued alongside the policy pack. It is short on purpose. An assessor reading it should be able to see the size and shape of the business in under a minute, and understand why the arrangements in the policies are set where they are.</w:t></w:r></w:p><w:p><w:pPr><w:pStyle w:val="Heading1"/><w:spacing w:after="120" w:before="320"/></w:pPr><w:r><w:rPr><w:rFonts w:ascii="Aptos Black" w:cs="Aptos Black" w:eastAsia="Aptos Black" w:hAnsi="Aptos Black"/><w:b/><w:bCs/><w:color w:val="E3DE00"/><w:sz w:val="32"/><w:szCs w:val="32"/></w:rPr><w:t xml:space="preserve">SECTION 2: THE ORGANISATION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Registered name</w:t></w:r></w:p></w:tc><w:tc><w:tcPr><w:tcW w:type="dxa" w:w="6160"/><w:tcMar><w:top w:type="dxa" w:w="60"/><w:left w:type="dxa" w:w="110"/><w:bottom w:type="dxa" w:w="60"/><w:right w:type="dxa" w:w="110"/></w:tcMar></w:tcPr><w:p><w:pPr><w:spacing w:after="40" w:before="40"/></w:pPr><w:r><w:rPr><w:rFonts w:ascii="Aptos" w:cs="Aptos" w:eastAsia="Aptos" w:hAnsi="Aptos"/><w:sz w:val="20"/><w:szCs w:val="20"/></w:rPr><w:t xml:space="preserve">⟦legalName⟧</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Trading as</w:t></w:r></w:p></w:tc><w:tc><w:tcPr><w:tcW w:type="dxa" w:w="6160"/><w:tcMar><w:top w:type="dxa" w:w="60"/><w:left w:type="dxa" w:w="110"/><w:bottom w:type="dxa" w:w="60"/><w:right w:type="dxa" w:w="110"/></w:tcMar></w:tcPr><w:p><w:pPr><w:spacing w:after="40" w:before="40"/></w:pPr><w:r><w:rPr><w:rFonts w:ascii="Aptos" w:cs="Aptos" w:eastAsia="Aptos" w:hAnsi="Aptos"/><w:sz w:val="20"/><w:szCs w:val="20"/></w:rPr><w:t xml:space="preserve">⟦short⟧</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Company number</w:t></w:r></w:p></w:tc><w:tc><w:tcPr><w:tcW w:type="dxa" w:w="6160"/><w:tcMar><w:top w:type="dxa" w:w="60"/><w:left w:type="dxa" w:w="110"/><w:bottom w:type="dxa" w:w="60"/><w:right w:type="dxa" w:w="110"/></w:tcMar></w:tcPr><w:p><w:pPr><w:spacing w:after="40" w:before="40"/></w:pPr><w:r><w:rPr><w:rFonts w:ascii="Aptos" w:cs="Aptos" w:eastAsia="Aptos" w:hAnsi="Aptos"/><w:sz w:val="20"/><w:szCs w:val="20"/></w:rPr><w:t xml:space="preserve">⟦companyNo⟧</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Registered office</w:t></w:r></w:p></w:tc><w:tc><w:tcPr><w:tcW w:type="dxa" w:w="6160"/><w:tcMar><w:top w:type="dxa" w:w="60"/><w:left w:type="dxa" w:w="110"/><w:bottom w:type="dxa" w:w="60"/><w:right w:type="dxa" w:w="110"/></w:tcMar></w:tcPr><w:p><w:pPr><w:spacing w:after="40" w:before="40"/></w:pPr><w:r><w:rPr><w:rFonts w:ascii="Aptos" w:cs="Aptos" w:eastAsia="Aptos" w:hAnsi="Aptos"/><w:sz w:val="20"/><w:szCs w:val="20"/></w:rPr><w:t xml:space="preserve">⟦address⟧</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What the business does</w:t></w:r></w:p></w:tc><w:tc><w:tcPr><w:tcW w:type="dxa" w:w="6160"/><w:tcMar><w:top w:type="dxa" w:w="60"/><w:left w:type="dxa" w:w="110"/><w:bottom w:type="dxa" w:w="60"/><w:right w:type="dxa" w:w="110"/></w:tcMar></w:tcPr><w:p><w:pPr><w:spacing w:after="40" w:before="40"/></w:pPr><w:commentRangeStart w:id="1"/><w:r><w:rPr><w:rFonts w:ascii="Aptos" w:cs="Aptos" w:eastAsia="Aptos" w:hAnsi="Aptos"/><w:sz w:val="20"/><w:szCs w:val="20"/><w:highlight w:val="yellow"/></w:rPr><w:t xml:space="preserve">Security systems design consultancy. Desk-based design, specification and advisory work for UK clients.</w:t></w:r><w:commentRangeEnd w:id="1"/><w:r><w:commentReference w:id="1"/></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Number of employees</w:t></w:r></w:p></w:tc><w:tc><w:tcPr><w:tcW w:type="dxa" w:w="6160"/><w:tcMar><w:top w:type="dxa" w:w="60"/><w:left w:type="dxa" w:w="110"/><w:bottom w:type="dxa" w:w="60"/><w:right w:type="dxa" w:w="110"/></w:tcMar></w:tcPr><w:p><w:pPr><w:spacing w:after="40" w:before="40"/></w:pPr><w:r><w:rPr><w:rFonts w:ascii="Aptos" w:cs="Aptos" w:eastAsia="Aptos" w:hAnsi="Aptos"/><w:sz w:val="20"/><w:szCs w:val="20"/></w:rPr><w:t xml:space="preserve"/></w:r><w:r><w:rPr><w:rFonts w:ascii="Aptos" w:cs="Aptos" w:eastAsia="Aptos" w:hAnsi="Aptos"/><w:sz w:val="20"/><w:szCs w:val="20"/></w:rPr><w:t xml:space="preserve">Recorded on the Training Matrix</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Of which Directors</w:t></w:r></w:p></w:tc><w:tc><w:tcPr><w:tcW w:type="dxa" w:w="6160"/><w:tcMar><w:top w:type="dxa" w:w="60"/><w:left w:type="dxa" w:w="110"/><w:bottom w:type="dxa" w:w="60"/><w:right w:type="dxa" w:w="110"/></w:tcMar></w:tcPr><w:p><w:pPr><w:spacing w:after="40" w:before="40"/></w:pPr><w:r><w:rPr><w:rFonts w:ascii="Aptos" w:cs="Aptos" w:eastAsia="Aptos" w:hAnsi="Aptos"/><w:sz w:val="20"/><w:szCs w:val="20"/></w:rPr><w:t xml:space="preserve"/></w:r><w:r><w:rPr><w:rFonts w:ascii="Aptos" w:cs="Aptos" w:eastAsia="Aptos" w:hAnsi="Aptos"/><w:bCs/><w:sz w:val="20"/><w:szCs w:val="20"/></w:rPr><w:t>1</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Managing Director</w:t></w:r></w:p></w:tc><w:tc><w:tcPr><w:tcW w:type="dxa" w:w="6160"/><w:tcMar><w:top w:type="dxa" w:w="60"/><w:left w:type="dxa" w:w="110"/><w:bottom w:type="dxa" w:w="60"/><w:right w:type="dxa" w:w="110"/></w:tcMar></w:tcPr><w:p><w:pPr><w:spacing w:after="40" w:before="40"/></w:pPr><w:r><w:rPr><w:rFonts w:ascii="Aptos" w:cs="Aptos" w:eastAsia="Aptos" w:hAnsi="Aptos"/><w:sz w:val="20"/><w:szCs w:val="20"/></w:rPr><w:t xml:space="preserve"/>&lt;/w:r&gt;&lt;w:r&gt;&lt;w:rPr&gt;&lt;w:rFonts w:ascii="Aptos" w:cs="Aptos" w:eastAsia="Aptos" w:hAnsi="Aptos"/&gt;&lt;w:bCs/&gt;&lt;w:sz w:val="20"/&gt;&lt;w:szCs w:val="20"/&gt;&lt;/w:rPr&gt;&lt;w:t&gt;⟦hsLead⟧</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Other Directors</w:t></w:r></w:p></w:tc><w:tc><w:tcPr><w:tcW w:type="dxa" w:w="6160"/><w:tcMar><w:top w:type="dxa" w:w="60"/><w:left w:type="dxa" w:w="110"/><w:bottom w:type="dxa" w:w="60"/><w:right w:type="dxa" w:w="110"/></w:tcMar></w:tcPr><w:p><w:pPr><w:spacing w:after="40" w:before="40"/></w:pPr><w:commentRangeStart w:id="2"/><w:r><w:rPr><w:rFonts w:ascii="Aptos" w:cs="Aptos" w:eastAsia="Aptos" w:hAnsi="Aptos"/><w:sz w:val="20"/><w:szCs w:val="20"/><w:highlight w:val="yellow"/></w:rPr><w:t xml:space="preserve"/>&lt;/w:r&gt;&lt;w:r&gt;&lt;w:rPr&gt;&lt;w:rFonts w:ascii="Aptos" w:cs="Aptos" w:eastAsia="Aptos" w:hAnsi="Aptos"/&gt;&lt;w:bCs/&gt;&lt;w:sz w:val="20"/&gt;&lt;w:szCs w:val="20"/&gt;&lt;/w:rPr&gt;&lt;w:t&gt;None. ⟦hsLead⟧ is the sole Director.</w:t></w:r><w:commentRangeEnd w:id="2"/><w:r><w:commentReference w:id="2"/></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Premises</w:t></w:r></w:p></w:tc><w:tc><w:tcPr><w:tcW w:type="dxa" w:w="6160"/><w:tcMar><w:top w:type="dxa" w:w="60"/><w:left w:type="dxa" w:w="110"/><w:bottom w:type="dxa" w:w="60"/><w:right w:type="dxa" w:w="110"/></w:tcMar></w:tcPr><w:p><w:pPr><w:spacing w:after="40" w:before="40"/></w:pPr><w:r><w:rPr><w:rFonts w:ascii="Aptos" w:cs="Aptos" w:eastAsia="Aptos" w:hAnsi="Aptos"/><w:sz w:val="20"/><w:szCs w:val="20"/></w:rPr><w:t xml:space="preserve">The team works primarily remotely. Meetings are held online or at client premises.</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Site attendance</w:t></w:r></w:p></w:tc><w:tc><w:tcPr><w:tcW w:type="dxa" w:w="6160"/><w:tcMar><w:top w:type="dxa" w:w="60"/><w:left w:type="dxa" w:w="110"/><w:bottom w:type="dxa" w:w="60"/><w:right w:type="dxa" w:w="110"/></w:tcMar></w:tcPr><w:p><w:pPr><w:spacing w:after="40" w:before="40"/></w:pPr><w:r><w:rPr><w:rFonts w:ascii="Aptos" w:cs="Aptos" w:eastAsia="Aptos" w:hAnsi="Aptos"/><w:sz w:val="20"/><w:szCs w:val="20"/></w:rPr><w:t xml:space="preserve">Occasional surveys, arranged in advance with the client and carried out under escort. No live site presence, no shift working, no night working.</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How people are engaged</w:t></w:r></w:p></w:tc><w:tc><w:tcPr><w:tcW w:type="dxa" w:w="6160"/><w:tcMar><w:top w:type="dxa" w:w="60"/><w:left w:type="dxa" w:w="110"/><w:bottom w:type="dxa" w:w="60"/><w:right w:type="dxa" w:w="110"/></w:tcMar></w:tcPr><w:p><w:pPr><w:spacing w:after="40" w:before="40"/></w:pPr><w:r><w:rPr><w:rFonts w:ascii="Aptos" w:cs="Aptos" w:eastAsia="Aptos" w:hAnsi="Aptos"/><w:sz w:val="20"/><w:szCs w:val="20"/></w:rPr><w:t xml:space="preserve">Employed directly and paid through PAYE. No subcontractors, agency workers, self-employed associates or labour providers currently engaged. No sub-consultants are used to deliver the Company's work. Specialist health and safety advice is provided by Archer Health &amp; Safety.</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Shared document store</w:t></w:r></w:p></w:tc><w:tc><w:tcPr><w:tcW w:type="dxa" w:w="6160"/><w:tcMar><w:top w:type="dxa" w:w="60"/><w:left w:type="dxa" w:w="110"/><w:bottom w:type="dxa" w:w="60"/><w:right w:type="dxa" w:w="110"/></w:tcMar></w:tcPr><w:p><w:pPr><w:spacing w:after="40" w:before="40"/></w:pPr><w:r><w:rPr><w:rFonts w:ascii="Aptos" w:cs="Aptos" w:eastAsia="Aptos" w:hAnsi="Aptos"/><w:sz w:val="20"/><w:szCs w:val="20"/></w:rPr><w:t xml:space="preserve"/></w:r><w:r><w:rPr><w:rFonts w:ascii="Aptos" w:cs="Aptos" w:eastAsia="Aptos" w:hAnsi="Aptos"/><w:sz w:val="20"/><w:szCs w:val="20"/></w:rPr><w:t xml:space="preserve">Company cloud storage</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Email</w:t></w:r></w:p></w:tc><w:tc><w:tcPr><w:tcW w:type="dxa" w:w="6160"/><w:tcMar><w:top w:type="dxa" w:w="60"/><w:left w:type="dxa" w:w="110"/><w:bottom w:type="dxa" w:w="60"/><w:right w:type="dxa" w:w="110"/></w:tcMar></w:tcPr><w:p><w:pPr><w:spacing w:after="40" w:before="40"/></w:pPr><w:r><w:rPr><w:rFonts w:ascii="Aptos" w:cs="Aptos" w:eastAsia="Aptos" w:hAnsi="Aptos"/><w:sz w:val="20"/><w:szCs w:val="20"/></w:rPr><w:t xml:space="preserve">Company email accounts, used for issuing policies and recording confirmations.</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Payroll, accounts and VAT</w:t></w:r></w:p></w:tc><w:tc><w:tcPr><w:tcW w:type="dxa" w:w="6160"/><w:tcMar><w:top w:type="dxa" w:w="60"/><w:left w:type="dxa" w:w="110"/><w:bottom w:type="dxa" w:w="60"/><w:right w:type="dxa" w:w="110"/></w:tcMar></w:tcPr><w:p><w:pPr><w:spacing w:after="40" w:before="40"/></w:pPr><w:r><w:rPr><w:rFonts w:ascii="Aptos" w:cs="Aptos" w:eastAsia="Aptos" w:hAnsi="Aptos"/><w:sz w:val="20"/><w:szCs w:val="20"/></w:rPr><w:t xml:space="preserve">Prepared and filed by an external accountant.</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External investigator</w:t></w:r></w:p></w:tc><w:tc><w:tcPr><w:tcW w:type="dxa" w:w="6160"/><w:tcMar><w:top w:type="dxa" w:w="60"/><w:left w:type="dxa" w:w="110"/><w:bottom w:type="dxa" w:w="60"/><w:right w:type="dxa" w:w="110"/></w:tcMar></w:tcPr><w:p><w:pPr><w:spacing w:after="40" w:before="40"/></w:pPr><w:r><w:rPr><w:rFonts w:ascii="Aptos" w:cs="Aptos" w:eastAsia="Aptos" w:hAnsi="Aptos"/><w:sz w:val="20"/><w:szCs w:val="20"/></w:rPr><w:t xml:space="preserve">None named. Concerns involving the Managing Director go to ACAS (0300 123 1100) or Protect (020 3117 2520). If an investigation is needed, an independent investigator is appointed at the time.</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Statement last updated</w:t></w:r></w:p></w:tc><w:tc><w:tcPr><w:tcW w:type="dxa" w:w="6160"/><w:tcMar><w:top w:type="dxa" w:w="60"/><w:left w:type="dxa" w:w="110"/><w:bottom w:type="dxa" w:w="60"/><w:right w:type="dxa" w:w="110"/></w:tcMar></w:tcPr><w:p><w:pPr><w:spacing w:after="40" w:before="40"/></w:pPr><w:r><w:rPr><w:rFonts w:ascii="Aptos" w:cs="Aptos" w:eastAsia="Aptos" w:hAnsi="Aptos"/><w:sz w:val="20"/><w:szCs w:val="20"/></w:rPr><w:t xml:space="preserve"/>&lt;/w:r&gt;&lt;w:r&gt;&lt;w:rPr&gt;&lt;w:rFonts w:ascii="Aptos" w:cs="Aptos" w:eastAsia="Aptos" w:hAnsi="Aptos"/&gt;&lt;w:sz w:val="20"/&gt;&lt;w:szCs w:val="20"/&gt;&lt;/w:rPr&gt;&lt;w:t xml:space="preserve"&gt;13 ⟦issueMonth⟧</w:t></w:r></w:p></w:tc></w:tr><w:tr><w:tc><w:tcPr><w:tcW w:type="dxa" w:w="3200"/><w:shd w:fill="F2F2F2" w:color="auto" w:val="clear"/><w:tcMar><w:top w:type="dxa" w:w="60"/><w:left w:type="dxa" w:w="110"/><w:bottom w:type="dxa" w:w="60"/><w:right w:type="dxa" w:w="110"/></w:tcMar></w:tcPr><w:p><w:pPr><w:spacing w:after="40" w:before="40"/></w:pPr><w:r><w:rPr><w:rFonts w:ascii="Aptos" w:cs="Aptos" w:eastAsia="Aptos" w:hAnsi="Aptos"/><w:b/><w:bCs/><w:sz w:val="20"/><w:szCs w:val="20"/></w:rPr><w:t xml:space="preserve">Updated by</w:t></w:r></w:p></w:tc><w:tc><w:tcPr><w:tcW w:type="dxa" w:w="6160"/><w:tcMar><w:top w:type="dxa" w:w="60"/><w:left w:type="dxa" w:w="110"/><w:bottom w:type="dxa" w:w="60"/><w:right w:type="dxa" w:w="110"/></w:tcMar></w:tcPr><w:p><w:pPr><w:spacing w:after="40" w:before="40"/></w:pPr><w:r><w:rPr><w:rFonts w:ascii="Aptos" w:cs="Aptos" w:eastAsia="Aptos" w:hAnsi="Aptos"/><w:sz w:val="20"/><w:szCs w:val="20"/></w:rPr><w:t xml:space="preserve"/></w:r><w:r><w:rPr><w:rFonts w:ascii="Aptos" w:cs="Aptos" w:eastAsia="Aptos" w:hAnsi="Aptos"/><w:sz w:val="20"/><w:szCs w:val="20"/></w:rPr><w:t xml:space="preserve">Simon Archer, Archer Health &amp; Safety</w:t></w:r></w:p></w:tc></w:tr></w:tbl><w:p><w:pPr><w:spacing w:after="160"/></w:pPr></w:p><w:p><w:pPr><w:spacing w:after="140" w:line="264"/></w:pPr><w:r><w:rPr><w:rFonts w:ascii="Aptos" w:cs="Aptos" w:eastAsia="Aptos" w:hAnsi="Aptos"/><w:i/><w:iCs/><w:color w:val="000000"/><w:sz w:val="18"/><w:szCs w:val="18"/></w:rPr><w:t xml:space="preserve">Complete the blank fields before issuing. Leave nothing blank on the copy that goes out with the policy pack.</w:t></w:r></w:p><w:p><w:r><w:br w:type="page"/></w:r></w:p><w:p><w:pPr><w:pStyle w:val="Heading1"/><w:spacing w:after="120" w:before="320"/></w:pPr><w:r><w:rPr><w:rFonts w:ascii="Aptos Black" w:cs="Aptos Black" w:eastAsia="Aptos Black" w:hAnsi="Aptos Black"/><w:b/><w:bCs/><w:color w:val="E3DE00"/><w:sz w:val="32"/><w:szCs w:val="32"/></w:rPr><w:t xml:space="preserve">SECTION 3: WHAT TRIGGERS AN UPDATE</w:t></w:r></w:p><w:p><w:pPr><w:spacing w:after="140" w:line="264"/></w:pPr><w:r><w:rPr><w:rFonts w:ascii="Aptos" w:cs="Aptos" w:eastAsia="Aptos" w:hAnsi="Aptos"/><w:color w:val="000000"/><w:sz w:val="22"/><w:szCs w:val="22"/></w:rPr><w:t xml:space="preserve">Update this sheet when any of the following happens. None of them requires a change to the policies themselves.</w:t></w:r></w:p><w:p><w:pPr><w:pStyle w:val="ListParagraph"/><w:numPr><w:ilvl w:val="0"/><w:numId w:val="2"/></w:numPr><w:spacing w:after="70" w:line="264"/></w:pPr><w:r><w:rPr><w:rFonts w:ascii="Aptos" w:cs="Aptos" w:eastAsia="Aptos" w:hAnsi="Aptos"/><w:sz w:val="22"/><w:szCs w:val="22"/></w:rPr><w:t xml:space="preserve">Someone joins or leaves.</w:t></w:r></w:p><w:p><w:pPr><w:pStyle w:val="ListParagraph"/><w:numPr><w:ilvl w:val="0"/><w:numId w:val="2"/></w:numPr><w:spacing w:after="70" w:line="264"/></w:pPr><w:r><w:rPr><w:rFonts w:ascii="Aptos" w:cs="Aptos" w:eastAsia="Aptos" w:hAnsi="Aptos"/><w:sz w:val="22"/><w:szCs w:val="22"/></w:rPr><w:t xml:space="preserve">A Director is appointed or resigns.</w:t></w:r></w:p><w:p><w:pPr><w:pStyle w:val="ListParagraph"/><w:numPr><w:ilvl w:val="0"/><w:numId w:val="2"/></w:numPr><w:spacing w:after="70" w:line="264"/></w:pPr><w:r><w:rPr><w:rFonts w:ascii="Aptos" w:cs="Aptos" w:eastAsia="Aptos" w:hAnsi="Aptos"/><w:sz w:val="22"/><w:szCs w:val="22"/></w:rPr><w:t xml:space="preserve">The Company takes premises, or gives them up.</w:t></w:r></w:p><w:p><w:pPr><w:pStyle w:val="ListParagraph"/><w:numPr><w:ilvl w:val="0"/><w:numId w:val="2"/></w:numPr><w:spacing w:after="70" w:line="264"/></w:pPr><w:r><w:rPr><w:rFonts w:ascii="Aptos" w:cs="Aptos" w:eastAsia="Aptos" w:hAnsi="Aptos"/><w:sz w:val="22"/><w:szCs w:val="22"/></w:rPr><w:t xml:space="preserve">The shared document store changes platform.</w:t></w:r></w:p><w:p><w:pPr><w:pStyle w:val="ListParagraph"/><w:numPr><w:ilvl w:val="0"/><w:numId w:val="2"/></w:numPr><w:spacing w:after="70" w:line="264"/></w:pPr><w:r><w:rPr><w:rFonts w:ascii="Aptos" w:cs="Aptos" w:eastAsia="Aptos" w:hAnsi="Aptos"/><w:sz w:val="22"/><w:szCs w:val="22"/></w:rPr><w:t xml:space="preserve">The external accountant changes.</w:t></w:r></w:p><w:p><w:pPr><w:pStyle w:val="ListParagraph"/><w:numPr><w:ilvl w:val="0"/><w:numId w:val="2"/></w:numPr><w:spacing w:after="70" w:line="264"/></w:pPr><w:r><w:rPr><w:rFonts w:ascii="Aptos" w:cs="Aptos" w:eastAsia="Aptos" w:hAnsi="Aptos"/><w:sz w:val="22"/><w:szCs w:val="22"/></w:rPr><w:t xml:space="preserve">The registered office moves.</w:t></w:r></w:p><w:p><w:pPr><w:spacing w:after="140" w:line="264"/></w:pPr><w:r><w:rPr><w:rFonts w:ascii="Aptos" w:cs="Aptos" w:eastAsia="Aptos" w:hAnsi="Aptos"/><w:color w:val="000000"/><w:sz w:val="22"/><w:szCs w:val="22"/></w:rPr><w:t xml:space="preserve">Some changes do reach into the policies, because they alter what the Company is exposed to rather than simply what it looks like. Where one of the following happens, update this sheet and then read across to the policy named beside it, because a control that has been sitting dormant becomes live.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rPr><w:tblHeader/></w:trPr><w:tc><w:tcPr><w:tcW w:type="dxa" w:w="300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Change</w:t></w:r></w:p></w:tc><w:tc><w:tcPr><w:tcW w:type="dxa" w:w="6360"/><w:shd w:fill="1B1B1B" w:color="auto" w:val="clear"/><w:tcMar><w:top w:type="dxa" w:w="60"/><w:left w:type="dxa" w:w="110"/><w:bottom w:type="dxa" w:w="60"/><w:right w:type="dxa" w:w="110"/></w:tcMar></w:tcPr><w:p><w:pPr><w:spacing w:after="40" w:before="40"/></w:pPr><w:r><w:rPr><w:rFonts w:ascii="Aptos" w:cs="Aptos" w:eastAsia="Aptos" w:hAnsi="Aptos"/><w:b/><w:bCs/><w:color w:val="FFFFFF"/><w:sz w:val="18"/><w:szCs w:val="18"/></w:rPr><w:t xml:space="preserve">What it switches on</w:t></w:r></w:p></w:tc></w:tr><w:tr><w:tc><w:tcPr><w:tcW w:type="dxa" w:w="3000"/><w:tcMar><w:top w:type="dxa" w:w="60"/><w:left w:type="dxa" w:w="110"/><w:bottom w:type="dxa" w:w="60"/><w:right w:type="dxa" w:w="110"/></w:tcMar></w:tcPr><w:p><w:pPr><w:spacing w:after="40" w:before="40"/></w:pPr><w:r><w:rPr><w:rFonts w:ascii="Aptos" w:cs="Aptos" w:eastAsia="Aptos" w:hAnsi="Aptos"/><w:sz w:val="18"/><w:szCs w:val="18"/></w:rPr><w:t xml:space="preserve">The Company engages its first subcontractor, associate, agency worker or consultant</w:t></w:r></w:p></w:tc><w:tc><w:tcPr><w:tcW w:type="dxa" w:w="6360"/><w:tcMar><w:top w:type="dxa" w:w="60"/><w:left w:type="dxa" w:w="110"/><w:bottom w:type="dxa" w:w="60"/><w:right w:type="dxa" w:w="110"/></w:tcMar></w:tcPr><w:p><w:pPr><w:spacing w:after="40" w:before="40"/></w:pPr><w:r><w:rPr><w:rFonts w:ascii="Aptos" w:cs="Aptos" w:eastAsia="Aptos" w:hAnsi="Aptos"/><w:sz w:val="18"/><w:szCs w:val="18"/></w:rPr><w:t xml:space="preserve">The due diligence and engagement-terms provisions in the Anti-Bribery &amp; Corruption Policy (Section 6) and the Prevention of the Criminal Facilitation of Tax Evasion Policy (Section 6). Right to work checks extend to them under the Right to Work Policy (Section 2). Anyone engaged on that basis is issued with the conduct policies before their first day.</w:t></w:r></w:p></w:tc></w:tr><w:tr><w:tc><w:tcPr><w:tcW w:type="dxa" w:w="3000"/><w:tcMar><w:top w:type="dxa" w:w="60"/><w:left w:type="dxa" w:w="110"/><w:bottom w:type="dxa" w:w="60"/><w:right w:type="dxa" w:w="110"/></w:tcMar></w:tcPr><w:p><w:pPr><w:spacing w:after="40" w:before="40"/></w:pPr><w:r><w:rPr><w:rFonts w:ascii="Aptos" w:cs="Aptos" w:eastAsia="Aptos" w:hAnsi="Aptos"/><w:sz w:val="18"/><w:szCs w:val="18"/></w:rPr><w:t xml:space="preserve">The Company takes on work outside the United Kingdom, or engages an overseas agent</w:t></w:r></w:p></w:tc><w:tc><w:tcPr><w:tcW w:type="dxa" w:w="6360"/><w:tcMar><w:top w:type="dxa" w:w="60"/><w:left w:type="dxa" w:w="110"/><w:bottom w:type="dxa" w:w="60"/><w:right w:type="dxa" w:w="110"/></w:tcMar></w:tcPr><w:p><w:pPr><w:spacing w:after="40" w:before="40"/></w:pPr><w:r><w:rPr><w:rFonts w:ascii="Aptos" w:cs="Aptos" w:eastAsia="Aptos" w:hAnsi="Aptos"/><w:sz w:val="18"/><w:szCs w:val="18"/></w:rPr><w:t xml:space="preserve">The overseas provisions in the Anti-Bribery &amp; Corruption Policy and the Prevention of the Criminal Facilitation of Tax Evasion Policy. Both are reviewed before the engagement is accepted.</w:t></w:r></w:p></w:tc></w:tr><w:tr><w:tc><w:tcPr><w:tcW w:type="dxa" w:w="3000"/><w:tcMar><w:top w:type="dxa" w:w="60"/><w:left w:type="dxa" w:w="110"/><w:bottom w:type="dxa" w:w="60"/><w:right w:type="dxa" w:w="110"/></w:tcMar></w:tcPr><w:p><w:pPr><w:spacing w:after="40" w:before="40"/></w:pPr><w:r><w:rPr><w:rFonts w:ascii="Aptos" w:cs="Aptos" w:eastAsia="Aptos" w:hAnsi="Aptos"/><w:sz w:val="18"/><w:szCs w:val="18"/></w:rPr><w:t xml:space="preserve">The Company introduces shift, night or out-of-hours working</w:t></w:r></w:p></w:tc><w:tc><w:tcPr><w:tcW w:type="dxa" w:w="6360"/><w:tcMar><w:top w:type="dxa" w:w="60"/><w:left w:type="dxa" w:w="110"/><w:bottom w:type="dxa" w:w="60"/><w:right w:type="dxa" w:w="110"/></w:tcMar></w:tcPr><w:p><w:pPr><w:spacing w:after="40" w:before="40"/></w:pPr><w:r><w:rPr><w:rFonts w:ascii="Aptos" w:cs="Aptos" w:eastAsia="Aptos" w:hAnsi="Aptos"/><w:sz w:val="18"/><w:szCs w:val="18"/></w:rPr><w:t xml:space="preserve">The out-of-hours controls recorded in the Sexual Harassment Risk Assessment. Rostering and contactability arrangements become live.</w:t></w:r></w:p></w:tc></w:tr><w:tr><w:tc><w:tcPr><w:tcW w:type="dxa" w:w="3000"/><w:tcMar><w:top w:type="dxa" w:w="60"/><w:left w:type="dxa" w:w="110"/><w:bottom w:type="dxa" w:w="60"/><w:right w:type="dxa" w:w="110"/></w:tcMar></w:tcPr><w:p><w:pPr><w:spacing w:after="40" w:before="40"/></w:pPr><w:r><w:rPr><w:rFonts w:ascii="Aptos" w:cs="Aptos" w:eastAsia="Aptos" w:hAnsi="Aptos"/><w:sz w:val="18"/><w:szCs w:val="18"/></w:rPr><w:t xml:space="preserve">Work begins to involve overnight stays or shared travel</w:t></w:r></w:p></w:tc><w:tc><w:tcPr><w:tcW w:type="dxa" w:w="6360"/><w:tcMar><w:top w:type="dxa" w:w="60"/><w:left w:type="dxa" w:w="110"/><w:bottom w:type="dxa" w:w="60"/><w:right w:type="dxa" w:w="110"/></w:tcMar></w:tcPr><w:p><w:pPr><w:spacing w:after="40" w:before="40"/></w:pPr><w:r><w:rPr><w:rFonts w:ascii="Aptos" w:cs="Aptos" w:eastAsia="Aptos" w:hAnsi="Aptos"/><w:sz w:val="18"/><w:szCs w:val="18"/></w:rPr><w:t xml:space="preserve">The travel and accommodation controls in the Sexual Harassment Risk Assessment.</w:t></w:r></w:p></w:tc></w:tr><w:tr><w:tc><w:tcPr><w:tcW w:type="dxa" w:w="3000"/><w:tcMar><w:top w:type="dxa" w:w="60"/><w:left w:type="dxa" w:w="110"/><w:bottom w:type="dxa" w:w="60"/><w:right w:type="dxa" w:w="110"/></w:tcMar></w:tcPr><w:p><w:pPr><w:spacing w:after="40" w:before="40"/></w:pPr><w:r><w:rPr><w:rFonts w:ascii="Aptos" w:cs="Aptos" w:eastAsia="Aptos" w:hAnsi="Aptos"/><w:sz w:val="18"/><w:szCs w:val="18"/></w:rPr><w:t xml:space="preserve">The Company takes premises</w:t></w:r></w:p></w:tc><w:tc><w:tcPr><w:tcW w:type="dxa" w:w="6360"/><w:tcMar><w:top w:type="dxa" w:w="60"/><w:left w:type="dxa" w:w="110"/><w:bottom w:type="dxa" w:w="60"/><w:right w:type="dxa" w:w="110"/></w:tcMar></w:tcPr><w:p><w:pPr><w:spacing w:after="40" w:before="40"/></w:pPr><w:r><w:rPr><w:rFonts w:ascii="Aptos" w:cs="Aptos" w:eastAsia="Aptos" w:hAnsi="Aptos"/><w:sz w:val="18"/><w:szCs w:val="18"/></w:rPr><w:t xml:space="preserve">Nothing mandatory changes, but the communication arrangements can be widened to include a noticeboard, and the Sexual Harassment Risk Assessment should be reviewed for the office setting.</w:t></w:r></w:p></w:tc></w:tr><w:tr><w:tc><w:tcPr><w:tcW w:type="dxa" w:w="3000"/><w:tcMar><w:top w:type="dxa" w:w="60"/><w:left w:type="dxa" w:w="110"/><w:bottom w:type="dxa" w:w="60"/><w:right w:type="dxa" w:w="110"/></w:tcMar></w:tcPr><w:p><w:pPr><w:spacing w:after="40" w:before="40"/></w:pPr><w:r><w:rPr><w:rFonts w:ascii="Aptos" w:cs="Aptos" w:eastAsia="Aptos" w:hAnsi="Aptos"/><w:sz w:val="18"/><w:szCs w:val="18"/></w:rPr><w:t xml:space="preserve">A concern is raised under any conduct policy</w:t></w:r></w:p></w:tc><w:tc><w:tcPr><w:tcW w:type="dxa" w:w="6360"/><w:tcMar><w:top w:type="dxa" w:w="60"/><w:left w:type="dxa" w:w="110"/><w:bottom w:type="dxa" w:w="60"/><w:right w:type="dxa" w:w="110"/></w:tcMar></w:tcPr><w:p><w:pPr><w:spacing w:after="40" w:before="40"/></w:pPr><w:r><w:rPr><w:rFonts w:ascii="Aptos" w:cs="Aptos" w:eastAsia="Aptos" w:hAnsi="Aptos"/><w:sz w:val="18"/><w:szCs w:val="18"/></w:rPr><w:t xml:space="preserve">The investigation route in the relevant policy, and a review of the Sexual Harassment Risk Assessment if it relates to that policy.</w:t></w:r></w:p></w:tc></w:tr><w:tr><w:tc><w:tcPr><w:tcW w:type="dxa" w:w="3000"/><w:tcMar><w:top w:type="dxa" w:w="60"/><w:left w:type="dxa" w:w="110"/><w:bottom w:type="dxa" w:w="60"/><w:right w:type="dxa" w:w="110"/></w:tcMar></w:tcPr><w:p><w:pPr><w:spacing w:after="40" w:before="40"/></w:pPr><w:r><w:rPr><w:rFonts w:ascii="Aptos" w:cs="Aptos" w:eastAsia="Aptos" w:hAnsi="Aptos"/><w:sz w:val="18"/><w:szCs w:val="18"/></w:rPr><w:t xml:space="preserve">Headcount grows to the point where there is a management tier between the Managing Director and the staff</w:t></w:r></w:p></w:tc><w:tc><w:tcPr><w:tcW w:type="dxa" w:w="6360"/><w:tcMar><w:top w:type="dxa" w:w="60"/><w:left w:type="dxa" w:w="110"/><w:bottom w:type="dxa" w:w="60"/><w:right w:type="dxa" w:w="110"/></w:tcMar></w:tcPr><w:p><w:pPr><w:spacing w:after="40" w:before="40"/></w:pPr><w:r><w:rPr><w:rFonts w:ascii="Aptos" w:cs="Aptos" w:eastAsia="Aptos" w:hAnsi="Aptos"/><w:sz w:val="18"/><w:szCs w:val="18"/></w:rPr><w:t xml:space="preserve">The reporting routes in the Anti-Bribery &amp; Corruption, Whistleblowing and Sexual Harassment policies can be widened to include line managers. Until then, the Managing Director and external routes stand.</w:t></w:r></w:p></w:tc></w:tr></w:tbl><w:p><w:r><w:br w:type="page"/></w:r></w:p><w:p><w:pPr><w:pStyle w:val="Heading1"/><w:spacing w:after="120" w:before="320"/></w:pPr><w:r><w:rPr><w:rFonts w:ascii="Aptos Black" w:cs="Aptos Black" w:eastAsia="Aptos Black" w:hAnsi="Aptos Black"/><w:b/><w:bCs/><w:color w:val="E3DE00"/><w:sz w:val="32"/><w:szCs w:val="32"/></w:rPr><w:t xml:space="preserve">SECTION 4: HOW THE POLICIES ARE WRITTEN</w:t></w:r></w:p><w:p><w:pPr><w:spacing w:after="140" w:line="264"/></w:pPr><w:r><w:rPr><w:rFonts w:ascii="Aptos" w:cs="Aptos" w:eastAsia="Aptos" w:hAnsi="Aptos"/><w:color w:val="000000"/><w:sz w:val="22"/><w:szCs w:val="22"/></w:rPr><w:t xml:space="preserve">This is recorded so that anyone reading the pack, including an assessor, understands the drafting convention and does not mistake it for a gap.</w:t></w:r></w:p><w:p><w:pPr><w:pStyle w:val="ListParagraph"/><w:numPr><w:ilvl w:val="0"/><w:numId w:val="2"/></w:numPr><w:spacing w:after="70" w:line="264"/></w:pPr><w:r><w:rPr><w:rFonts w:ascii="Aptos" w:cs="Aptos" w:eastAsia="Aptos" w:hAnsi="Aptos"/><w:sz w:val="22"/><w:szCs w:val="22"/></w:rPr><w:t xml:space="preserve">The policies state standing rules, not snapshots. A rule reads "where the Company engages a subcontractor, the following checks are carried out", rather than "the Company does not engage subcontractors". The control is therefore already in place on the day it is first needed, instead of being written afterwards.</w:t></w:r></w:p><w:p><w:pPr><w:pStyle w:val="ListParagraph"/><w:numPr><w:ilvl w:val="0"/><w:numId w:val="2"/></w:numPr><w:spacing w:after="70" w:line="264"/></w:pPr><w:r><w:rPr><w:rFonts w:ascii="Aptos" w:cs="Aptos" w:eastAsia="Aptos" w:hAnsi="Aptos"/><w:sz w:val="22"/><w:szCs w:val="22"/></w:rPr><w:t xml:space="preserve">The policies describe the Company as small and owner-managed, and say that the Managing Director is part of the working team. They do not state a headcount. The headcount is here.</w:t></w:r></w:p><w:p><w:pPr><w:pStyle w:val="ListParagraph"/><w:numPr><w:ilvl w:val="0"/><w:numId w:val="2"/></w:numPr><w:spacing w:after="70" w:line="264"/></w:pPr><w:r><w:rPr><w:rFonts w:ascii="Aptos" w:cs="Aptos" w:eastAsia="Aptos" w:hAnsi="Aptos"/><w:sz w:val="22"/><w:szCs w:val="22"/></w:rPr><w:t xml:space="preserve">The policies refer to the shared document folder rather than naming the platform, so that changing platform does not require a policy revision. The platform is named here.</w:t></w:r></w:p><w:p><w:pPr><w:pStyle w:val="ListParagraph"/><w:numPr><w:ilvl w:val="0"/><w:numId w:val="2"/></w:numPr><w:spacing w:after="70" w:line="264"/></w:pPr><w:r><w:rPr><w:rFonts w:ascii="Aptos" w:cs="Aptos" w:eastAsia="Aptos" w:hAnsi="Aptos"/><w:sz w:val="22"/><w:szCs w:val="22"/></w:rPr><w:t xml:space="preserve">Individuals are named on signature blocks, which are signed afresh each year, and not in the body text. Body text refers to roles.</w:t></w:r></w:p><w:p><w:pPr><w:pStyle w:val="ListParagraph"/><w:numPr><w:ilvl w:val="0"/><w:numId w:val="2"/></w:numPr><w:spacing w:after="70" w:line="264"/></w:pPr><w:r><w:rPr><w:rFonts w:ascii="Aptos" w:cs="Aptos" w:eastAsia="Aptos" w:hAnsi="Aptos"/><w:sz w:val="22"/><w:szCs w:val="22"/></w:rPr><w:t xml:space="preserve">Dates appear in version control tables and review records, not in the body text. A policy does not say a review happened in a particular month; it says the review happens annually and the record shows when.</w:t></w:r></w:p><w:p><w:pPr><w:spacing w:after="140" w:line="264"/></w:pPr><w:r><w:rPr><w:rFonts w:ascii="Aptos" w:cs="Aptos" w:eastAsia="Aptos" w:hAnsi="Aptos"/><w:color w:val="000000"/><w:sz w:val="22"/><w:szCs w:val="22"/></w:rPr><w:t xml:space="preserve">The practical effect is that the annual review is a genuine review of whether the arrangements are still right, rather than an exercise in correcting numbers that have drifted.</w:t></w:r></w:p><w:p><w:pPr><w:pStyle w:val="Heading1"/><w:spacing w:after="120" w:before="320"/></w:pPr><w:r><w:rPr><w:rFonts w:ascii="Aptos Black" w:cs="Aptos Black" w:eastAsia="Aptos Black" w:hAnsi="Aptos Black"/><w:b/><w:bCs/><w:color w:val="E3DE00"/><w:sz w:val="32"/><w:szCs w:val="32"/></w:rPr><w:t xml:space="preserve">SECTION 5: PROPORTIONALITY</w:t></w:r></w:p><w:p><w:pPr><w:spacing w:after="140" w:line="264"/></w:pPr><w:r><w:rPr><w:rFonts w:ascii="Aptos" w:cs="Aptos" w:eastAsia="Aptos" w:hAnsi="Aptos"/><w:color w:val="000000"/><w:sz w:val="22"/><w:szCs w:val="22"/></w:rPr><w:t xml:space="preserve">Build UK states that for micro-businesses the Common Assessment Standard is applied in a proportionate way. The same principle runs through the underlying law. Principle 1 of the Ministry of Justice guidance on the Bribery Act 2010 requires procedures proportionate to the nature, scale and complexity of the organisation. HMRC's guidance on the Criminal Finances Act 2017 asks for procedures proportionate to the risk. The duty under section 40A of the Equality Act 2010 is to take reasonable steps, and what is reasonable turns on the employer's size and resources.</w:t></w:r></w:p><w:p><w:pPr><w:spacing w:after="140" w:line="264"/></w:pPr><w:r><w:rPr><w:rFonts w:ascii="Aptos" w:cs="Aptos" w:eastAsia="Aptos" w:hAnsi="Aptos"/><w:color w:val="000000"/><w:sz w:val="22"/><w:szCs w:val="22"/></w:rPr><w:t xml:space="preserve">The policies in this pack are set at that level, and say so openly rather than borrowing text from a large contractor. Right to work is the exception and is treated as one: the duty does not scale with headcount, so the standard is identical and only the process is sized to the business.</w:t></w:r></w:p><w:p><w:pPr><w:spacing w:after="140" w:line="264"/></w:pPr><w:r><w:rPr><w:rFonts w:ascii="Aptos" w:cs="Aptos" w:eastAsia="Aptos" w:hAnsi="Aptos"/><w:color w:val="000000"/><w:sz w:val="22"/><w:szCs w:val="22"/></w:rPr><w:t xml:space="preserve">Where a control that a larger organisation would operate has been considered and not adopted, the reason is recorded in the Resubmission Action Plan rather than left as a silent omission.</w:t></w:r></w:p><w:p><w:pPr><w:pStyle w:val="Heading1"/><w:spacing w:after="120" w:before="320"/></w:pPr><w:r><w:rPr><w:rFonts w:ascii="Aptos Black" w:cs="Aptos Black" w:eastAsia="Aptos Black" w:hAnsi="Aptos Black"/><w:b/><w:bCs/><w:color w:val="E3DE00"/><w:sz w:val="32"/><w:szCs w:val="32"/></w:rPr><w:t xml:space="preserve">SECTION 6: REVIEW RECORD</w:t></w:r></w:p><w:p><w:pPr><w:spacing w:after="140" w:line="264"/></w:pPr><w:r><w:rPr><w:rFonts w:ascii="Aptos" w:cs="Aptos" w:eastAsia="Aptos" w:hAnsi="Aptos"/><w:color w:val="000000"/><w:sz w:val="22"/><w:szCs w:val="22"/></w:rPr><w:t xml:space="preserve">Reviewed at least annually alongside the policy pack, and whenever one of the triggers at Section 3 occurs.</w:t></w:r></w:p><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00"/><w:gridCol w:w="1500"/><w:gridCol w:w="4260"/><w:gridCol w:w="2200"/></w:tblGrid><w:tr><w:trPr><w:tblHeader/></w:trPr><w:tc><w:tcPr><w:tcW w:type="dxa" w:w="14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Date</w:t></w:r></w:p></w:tc><w:tc><w:tcPr><w:tcW w:type="dxa" w:w="15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Updated by</w:t></w:r></w:p></w:tc><w:tc><w:tcPr><w:tcW w:type="dxa" w:w="426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What changed</w:t></w:r></w:p></w:tc><w:tc><w:tcPr><w:tcW w:type="dxa" w:w="22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Policies needing review?</w:t></w:r></w:p></w:tc></w:tr><w:t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Simon Archer</w:t></w:r></w:p></w:tc><w:tc><w:tcPr><w:tcW w:type="dxa" w:w="4260"/><w:tcMar><w:top w:type="dxa" w:w="60"/><w:left w:type="dxa" w:w="110"/><w:bottom w:type="dxa" w:w="60"/><w:right w:type="dxa" w:w="110"/></w:tcMar></w:tcPr><w:p><w:pPr><w:spacing w:after="40" w:before="40"/></w:pPr><w:r><w:rPr><w:rFonts w:ascii="Aptos" w:cs="Aptos" w:eastAsia="Aptos" w:hAnsi="Aptos"/><w:sz w:val="18"/><w:szCs w:val="18"/></w:rPr><w:t xml:space="preserve">First issue, alongside the revised policy pack</w:t></w:r></w:p></w:tc><w:tc><w:tcPr><w:tcW w:type="dxa" w:w="2200"/><w:tcMar><w:top w:type="dxa" w:w="60"/><w:left w:type="dxa" w:w="110"/><w:bottom w:type="dxa" w:w="60"/><w:right w:type="dxa" w:w="110"/></w:tcMar></w:tcPr><w:p><w:pPr><w:spacing w:after="40" w:before="40"/></w:pPr><w:r><w:rPr><w:rFonts w:ascii="Aptos" w:cs="Aptos" w:eastAsia="Aptos" w:hAnsi="Aptos"/><w:sz w:val="18"/><w:szCs w:val="18"/></w:rPr><w:t xml:space="preserve">No</w:t></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r><w:trPr><w:trHeight w:val="420" w:hRule="atLeast"/></w:trPr><w:tc><w:tcPr><w:tcW w:type="dxa" w:w="1400"/><w:tcMar><w:top w:type="dxa" w:w="60"/><w:left w:type="dxa" w:w="110"/><w:bottom w:type="dxa" w:w="60"/><w:right w:type="dxa" w:w="110"/></w:tcMar></w:tcPr><w:p><w:pPr><w:spacing w:after="40" w:before="40"/></w:pPr><w:r><w:rPr><w:rFonts w:ascii="Aptos" w:cs="Aptos" w:eastAsia="Aptos" w:hAnsi="Aptos"/><w:sz w:val="18"/><w:szCs w:val="18"/></w:rPr><w:t xml:space="preserve"/></w:r></w:p></w:tc><w:tc><w:tcPr><w:tcW w:type="dxa" w:w="1500"/><w:tcMar><w:top w:type="dxa" w:w="60"/><w:left w:type="dxa" w:w="110"/><w:bottom w:type="dxa" w:w="60"/><w:right w:type="dxa" w:w="110"/></w:tcMar></w:tcPr><w:p><w:pPr><w:spacing w:after="40" w:before="40"/></w:pPr><w:r><w:rPr><w:rFonts w:ascii="Aptos" w:cs="Aptos" w:eastAsia="Aptos" w:hAnsi="Aptos"/><w:sz w:val="18"/><w:szCs w:val="18"/></w:rPr><w:t xml:space="preserve"/></w:r></w:p></w:tc><w:tc><w:tcPr><w:tcW w:type="dxa" w:w="4260"/><w:tcMar><w:top w:type="dxa" w:w="60"/><w:left w:type="dxa" w:w="110"/><w:bottom w:type="dxa" w:w="60"/><w:right w:type="dxa" w:w="110"/></w:tcMar></w:tcPr><w:p><w:pPr><w:spacing w:after="40" w:before="40"/></w:pPr><w:r><w:rPr><w:rFonts w:ascii="Aptos" w:cs="Aptos" w:eastAsia="Aptos" w:hAnsi="Aptos"/><w:sz w:val="18"/><w:szCs w:val="18"/></w:rPr><w:t xml:space="preserve"/></w:r></w:p></w:tc><w:tc><w:tcPr><w:tcW w:type="dxa" w:w="2200"/><w:tcMar><w:top w:type="dxa" w:w="60"/><w:left w:type="dxa" w:w="110"/><w:bottom w:type="dxa" w:w="60"/><w:right w:type="dxa" w:w="110"/></w:tcMar></w:tcPr><w:p><w:pPr><w:spacing w:after="40" w:before="40"/></w:pPr><w:r><w:rPr><w:rFonts w:ascii="Aptos" w:cs="Aptos" w:eastAsia="Aptos" w:hAnsi="Aptos"/><w:sz w:val="18"/><w:szCs w:val="18"/></w:rPr><w:t xml:space="preserve"/></w:r></w:p></w:tc></w:tr></w:tbl><w:p><w:pPr><w:spacing w:after="24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3200"/><w:gridCol w:w="2200"/><w:gridCol w:w="1360"/></w:tblGrid><w:tr><w:trPr><w:tblHeader/></w:trPr><w:tc><w:tcPr><w:tcW w:type="dxa" w:w="26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w:r></w:p></w:tc><w:tc><w:tcPr><w:tcW w:type="dxa" w:w="32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Name</w:t></w:r></w:p></w:tc><w:tc><w:tcPr><w:tcW w:type="dxa" w:w="220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Signature</w:t></w:r></w:p></w:tc><w:tc><w:tcPr><w:tcW w:type="dxa" w:w="1360"/><w:shd w:fill="1B1B1B" w:color="auto" w:val="clear"/><w:tcMar><w:top w:type="dxa" w:w="60"/><w:left w:type="dxa" w:w="110"/><w:bottom w:type="dxa" w:w="60"/><w:right w:type="dxa" w:w="110"/></w:tcMar></w:tcPr><w:p><w:pPr><w:spacing w:after="40" w:before="40"/></w:pPr><w:r><w:rPr><w:rFonts w:ascii="Aptos" w:cs="Aptos" w:eastAsia="Aptos" w:hAnsi="Aptos"/><w:b/><w:bCs/><w:color w:val="FFFFFF"/><w:sz w:val="20"/><w:szCs w:val="20"/></w:rPr><w:t xml:space="preserve">Date</w:t></w:r></w:p></w:tc></w:tr><w:tr><w:tc><w:tcPr><w:tcW w:type="dxa" w:w="2600"/><w:tcMar><w:top w:type="dxa" w:w="60"/><w:left w:type="dxa" w:w="110"/><w:bottom w:type="dxa" w:w="60"/><w:right w:type="dxa" w:w="110"/></w:tcMar></w:tcPr><w:p><w:pPr><w:spacing w:after="40" w:before="40"/></w:pPr><w:r><w:rPr><w:rFonts w:ascii="Aptos" w:cs="Aptos" w:eastAsia="Aptos" w:hAnsi="Aptos"/><w:sz w:val="20"/><w:szCs w:val="20"/></w:rPr><w:t xml:space="preserve">Prepared by</w:t></w:r></w:p></w:tc><w:tc><w:tcPr><w:tcW w:type="dxa" w:w="3200"/><w:tcMar><w:top w:type="dxa" w:w="60"/><w:left w:type="dxa" w:w="110"/><w:bottom w:type="dxa" w:w="60"/><w:right w:type="dxa" w:w="110"/></w:tcMar></w:tcPr><w:p><w:pPr><w:spacing w:after="40" w:before="40"/></w:pPr><w:r><w:rPr><w:rFonts w:ascii="Aptos" w:cs="Aptos" w:eastAsia="Aptos" w:hAnsi="Aptos"/><w:sz w:val="20"/><w:szCs w:val="20"/></w:rPr><w:t xml:space="preserve">Simon Archer (Archer Health &amp; Safety)</w:t></w:r></w:p></w:tc><w:tc><w:tcPr><w:tcW w:type="dxa" w:w="2200"/><w:tcMar><w:top w:type="dxa" w:w="60"/><w:left w:type="dxa" w:w="110"/><w:bottom w:type="dxa" w:w="60"/><w:right w:type="dxa" w:w="110"/></w:tcMar></w:tcPr><w:p><w:pPr><w:spacing w:after="40" w:before="40"/></w:pPr><w:r><w:rPr><w:rFonts w:ascii="Aptos" w:cs="Aptos" w:eastAsia="Aptos" w:hAnsi="Aptos"/><w:sz w:val="20"/><w:szCs w:val="20"/></w:rPr><w:t xml:space="preserve"/></w:r></w:p></w:tc><w:tc><w:tcPr><w:tcW w:type="dxa" w:w="1360"/><w:tcMar><w:top w:type="dxa" w:w="60"/><w:left w:type="dxa" w:w="110"/><w:bottom w:type="dxa" w:w="60"/><w:right w:type="dxa" w:w="110"/></w:tcMar></w:tcPr><w:p><w:pPr><w:spacing w:after="40" w:before="40"/></w:pPr><w:r><w:rPr><w:rFonts w:ascii="Aptos" w:cs="Aptos" w:eastAsia="Aptos" w:hAnsi="Aptos"/><w:sz w:val="20"/><w:szCs w:val="20"/></w:rPr><w:t xml:space="preserve"/></w:r></w:p></w:tc></w:tr><w:tr><w:tc><w:tcPr><w:tcW w:type="dxa" w:w="2600"/><w:tcMar><w:top w:type="dxa" w:w="60"/><w:left w:type="dxa" w:w="110"/><w:bottom w:type="dxa" w:w="60"/><w:right w:type="dxa" w:w="110"/></w:tcMar></w:tcPr><w:p><w:pPr><w:spacing w:after="40" w:before="40"/></w:pPr><w:r><w:rPr><w:rFonts w:ascii="Aptos" w:cs="Aptos" w:eastAsia="Aptos" w:hAnsi="Aptos"/><w:sz w:val="20"/><w:szCs w:val="20"/></w:rPr><w:t xml:space="preserve">Approved by (Managing Director)</w:t></w:r></w:p></w:tc><w:tc><w:tcPr><w:tcW w:type="dxa" w:w="3200"/><w:tcMar><w:top w:type="dxa" w:w="60"/><w:left w:type="dxa" w:w="110"/><w:bottom w:type="dxa" w:w="60"/><w:right w:type="dxa" w:w="110"/></w:tcMar></w:tcPr><w:p><w:pPr><w:spacing w:after="40" w:before="40"/></w:pPr><w:r><w:rPr><w:rFonts w:ascii="Aptos" w:cs="Aptos" w:eastAsia="Aptos" w:hAnsi="Aptos"/><w:sz w:val="20"/><w:szCs w:val="20"/></w:rPr><w:t xml:space="preserve"/></w:r></w:p></w:tc><w:tc><w:tcPr><w:tcW w:type="dxa" w:w="2200"/><w:tcMar><w:top w:type="dxa" w:w="60"/><w:left w:type="dxa" w:w="110"/><w:bottom w:type="dxa" w:w="60"/><w:right w:type="dxa" w:w="110"/></w:tcMar></w:tcPr><w:p><w:pPr><w:spacing w:after="40" w:before="40"/></w:pPr><w:r><w:rPr><w:rFonts w:ascii="Aptos" w:cs="Aptos" w:eastAsia="Aptos" w:hAnsi="Aptos"/><w:sz w:val="20"/><w:szCs w:val="20"/></w:rPr><w:t xml:space="preserve"/></w:r></w:p></w:tc><w:tc><w:tcPr><w:tcW w:type="dxa" w:w="1360"/><w:tcMar><w:top w:type="dxa" w:w="60"/><w:left w:type="dxa" w:w="110"/><w:bottom w:type="dxa" w:w="60"/><w:right w:type="dxa" w:w="110"/></w:tcMar></w:tcPr><w:p><w:pPr><w:spacing w:after="40" w:before="40"/></w:pPr><w:r><w:rPr><w:rFonts w:ascii="Aptos" w:cs="Aptos" w:eastAsia="Aptos" w:hAnsi="Aptos"/><w:sz w:val="20"/><w:szCs w:val="20"/></w:rPr><w:t xml:space="preserve"/></w:r></w:p></w:tc></w:tr></w:tbl><w:sectPr><w:footerReference w:type="default" r:id="rId7"/><w:pgSz w:w="11906" w:h="16838" w:orient="portrait"/><w:pgMar w:top="1080" w:right="1080" w:bottom="1080" w:left="1080" w:header="708" w:footer="708" w:gutter="0"/><w:pgNumType/><w:docGrid w:linePitch="360"/></w:sectPr></w:body></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after="0" w:before="120"/>
      <w:jc w:val="center"/>
    </w:pPr>
    <w:r>
      <w:rPr>
        <w:rFonts w:ascii="Helvetica" w:cs="Helvetica" w:eastAsia="Helvetica" w:hAnsi="Helvetica"/>
        <w:sz w:val="14"/>
        <w:szCs w:val="14"/>
      </w:rPr>
      <w:t xml:space="preserve">Registered Office: ⟦address⟧</w:t>
    </w:r>
  </w:p>
  <w:p>
    <w:pPr>
      <w:jc w:val="center"/>
    </w:pPr>
    <w:r>
      <w:rPr>
        <w:rFonts w:ascii="Calibri" w:cs="Calibri" w:eastAsia="Calibri" w:hAnsi="Calibri"/>
        <w:sz w:val="14"/>
        <w:szCs w:val="14"/>
      </w:rPr>
      <w:t xml:space="preserve">Company number: ⟦companyNo⟧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ptos" w:cs="Aptos" w:eastAsia="Aptos" w:hAnsi="Aptos"/>
        <w:sz w:val="22"/>
        <w:szCs w:val="22"/>
      </w:rPr>
    </w:lvl>
    <w:lvl w:ilvl="1" w15:tentative="1">
      <w:start w:val="1"/>
      <w:numFmt w:val="bullet"/>
      <w:lvlText w:val="–"/>
      <w:lvlJc w:val="left"/>
      <w:pPr>
        <w:ind w:left="920" w:hanging="240"/>
      </w:pPr>
      <w:rPr>
        <w:rFonts w:ascii="Aptos" w:cs="Aptos" w:eastAsia="Aptos" w:hAnsi="Apto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Black" w:cs="Aptos Black" w:eastAsia="Aptos Black" w:hAnsi="Aptos Black"/>
      <w:b/>
      <w:bCs/>
      <w:color w:val="E3DE00"/>
      <w:sz w:val="32"/>
      <w:szCs w:val="32"/>
    </w:rPr>
  </w:style>
  <w:style w:type="paragraph" w:styleId="Heading2">
    <w:name w:val="Heading 2"/>
    <w:basedOn w:val="Normal"/>
    <w:next w:val="Normal"/>
    <w:qFormat/>
    <w:rPr>
      <w:rFonts w:ascii="Calibri" w:cs="Calibri" w:eastAsia="Calibri" w:hAnsi="Calibri"/>
      <w:b/>
      <w:bCs/>
      <w:color w:val="002060"/>
      <w:sz w:val="24"/>
      <w:szCs w:val="24"/>
    </w:rPr>
  </w:style>
  <w:style w:type="paragraph" w:styleId="Heading3">
    <w:name w:val="Heading 3"/>
    <w:basedOn w:val="Normal"/>
    <w:next w:val="Normal"/>
    <w:qFormat/>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66a9ed7a9db097255072182a00c6bb9ae9a5e240.png"/><Relationship Id="rId9" Type="http://schemas.openxmlformats.org/officeDocument/2006/relationships/image" Target="media/d00fe7aa5f23116cc21499fe913d02e20ff6dce6.png"/><Relationship Id="rId10"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Organisation and Scope Statement</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