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43225"/>
                    </a:xfrm>
                    <a:prstGeom prst="rect">
                      <a:avLst/>
                    </a:prstGeom>
                  </pic:spPr>
                </pic:pic>
              </a:graphicData>
            </a:graphic>
          </wp:inline>
        </w:drawing>
      </w:r>
    </w:p>
    <w:p>
      <w:pPr>
        <w:spacing w:after="700"/>
        <w:jc w:val="center"/>
      </w:pPr>
      <w:r>
        <w:rPr>
          <w:rFonts w:ascii="Aptos Black" w:cs="Aptos Black" w:eastAsia="Aptos Black" w:hAnsi="Aptos Black"/>
          <w:b/>
          <w:bCs/>
          <w:color w:val="000000"/>
          <w:sz w:val="34"/>
          <w:szCs w:val="34"/>
        </w:rPr>
        <w:t xml:space="preserve">RIGHT TO WORK IN THE UK POLICY AND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⟦issueMonth⟧</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Author</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Simon Archer (Archer Health &amp; Safety)</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Review 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⟦reviewMonth⟧</w:t>
            </w:r>
          </w:p>
        </w:tc>
      </w:tr>
    </w:tbl>
    <w:p>
      <w:pPr>
        <w:spacing w:after="1400"/>
      </w:pPr>
    </w:p>
    <w:p>
      <w:pPr>
        <w:spacing w:after="200"/>
        <w:jc w:val="center"/>
      </w:pPr>
      <w:r>
        <w:drawing>
          <wp:inline distT="0" distB="0" distL="0" distR="0">
            <wp:extent cx="5143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466725"/>
                    </a:xfrm>
                    <a:prstGeom prst="rect">
                      <a:avLst/>
                    </a:prstGeom>
                  </pic:spPr>
                </pic:pic>
              </a:graphicData>
            </a:graphic>
          </wp:inline>
        </w:drawing>
      </w:r>
    </w:p>
    <w:p>
      <w:pPr>
        <w:shd w:fill="1B1B1B" w:color="auto" w:val="clear"/>
        <w:spacing w:after="200" w:before="200"/>
        <w:jc w:val="center"/>
      </w:pPr>
      <w:r>
        <w:rPr>
          <w:rFonts w:ascii="Aptos" w:cs="Aptos" w:eastAsia="Aptos" w:hAnsi="Aptos"/>
          <w:color w:val="FFFFFF"/>
          <w:sz w:val="22"/>
          <w:szCs w:val="22"/>
        </w:rPr>
        <w:t xml:space="preserve">⟦legalName⟧</w:t>
      </w:r>
    </w:p>
    <w:p>
      <w:r>
        <w:br w:type="page"/>
      </w:r>
    </w:p>
    <w:p>
      <w:pPr>
        <w:spacing w:after="200"/>
      </w:pPr>
      <w:r>
        <w:rPr>
          <w:rFonts w:ascii="Calibri" w:cs="Calibri" w:eastAsia="Calibri" w:hAnsi="Calibri"/>
          <w:b/>
          <w:bCs/>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ptos Black" w:cs="Aptos Black" w:eastAsia="Aptos Black" w:hAnsi="Aptos Black"/>
          <w:b/>
          <w:bCs/>
          <w:color w:val="E3DE00"/>
          <w:sz w:val="32"/>
          <w:szCs w:val="32"/>
        </w:rPr>
        <w:t xml:space="preserve">SECTION 1: POLICY STATEMENT</w:t>
      </w:r>
    </w:p>
    <w:p>
      <w:pPr>
        <w:pStyle w:val="Heading2"/>
        <w:spacing w:after="90" w:before="220"/>
      </w:pPr>
      <w:r>
        <w:rPr>
          <w:rFonts w:ascii="Calibri" w:cs="Calibri" w:eastAsia="Calibri" w:hAnsi="Calibri"/>
          <w:b/>
          <w:bCs/>
          <w:color w:val="002060"/>
          <w:sz w:val="24"/>
          <w:szCs w:val="24"/>
        </w:rPr>
        <w:t xml:space="preserve">1.1 Statement of Intent</w:t>
      </w:r>
    </w:p>
    <w:p>
      <w:pPr>
        <w:spacing w:after="140" w:line="264"/>
      </w:pPr>
      <w:r>
        <w:rPr>
          <w:rFonts w:ascii="Aptos" w:cs="Aptos" w:eastAsia="Aptos" w:hAnsi="Aptos"/>
          <w:color w:val="000000"/>
          <w:sz w:val="22"/>
          <w:szCs w:val="22"/>
        </w:rPr>
        <w:t xml:space="preserve">As Managing Director of ⟦legalName⟧ (⟦short⟧), I confirm that we carry out a right to work check on every person before they start work for us. No exceptions, and no starting before the check is done.</w:t>
      </w:r>
    </w:p>
    <w:p>
      <w:pPr>
        <w:spacing w:after="140" w:line="264"/>
      </w:pPr>
      <w:r>
        <w:rPr>
          <w:rFonts w:ascii="Aptos" w:cs="Aptos" w:eastAsia="Aptos" w:hAnsi="Aptos"/>
          <w:color w:val="000000"/>
          <w:sz w:val="22"/>
          <w:szCs w:val="22"/>
        </w:rPr>
        <w:t xml:space="preserve">It is a criminal offence under the Immigration, Asylum and Nationality Act 2006 and the Immigration Act 2016 to employ someone who has no right to work in the UK. An employer who fails to carry out a correct check faces a civil penalty of up to £45,000 per illegal worker for a first breach and up to £60,000 for a repeat breach. Where the employer knew or had reasonable cause to believe the person had no right to work, the penalty is an unlimited fine and up to five years in prison. Completing a prescribed check correctly, before employment begins, gives the Company a statutory excuse.</w:t>
      </w:r>
    </w:p>
    <w:p>
      <w:pPr>
        <w:spacing w:after="140" w:line="264"/>
      </w:pPr>
      <w:r>
        <w:rPr>
          <w:rFonts w:ascii="Aptos" w:cs="Aptos" w:eastAsia="Aptos" w:hAnsi="Aptos"/>
          <w:color w:val="000000"/>
          <w:sz w:val="22"/>
          <w:szCs w:val="22"/>
        </w:rPr>
        <w:t xml:space="preserve">Unlike most of our policies, this one is not scaled by the size of the business. The duty on a small consultancy is identical to the duty on a company of five thousand. What is proportionate is the process, not the standard, and this document sets out a process that a small management team can actually run.</w:t>
      </w:r>
    </w:p>
    <w:p>
      <w:pPr>
        <w:spacing w:after="140" w:line="264"/>
      </w:pPr>
      <w:r>
        <w:rPr>
          <w:rFonts w:ascii="Aptos" w:cs="Aptos" w:eastAsia="Aptos" w:hAnsi="Aptos"/>
          <w:color w:val="000000"/>
          <w:sz w:val="22"/>
          <w:szCs w:val="22"/>
        </w:rPr>
        <w:t xml:space="preserve">We check every candidate the same way, at the same stage. We do not make assumptions about anyone's right to work from their name, accent, appearance or background, and we do not single out particular candidates to prove their status. Doing so would be unlawful discrimination under the Equality Act 2010.</w:t>
      </w:r>
    </w:p>
    <w:p>
      <w:pPr>
        <w:spacing w:after="600"/>
      </w:pPr>
    </w:p>
    <w:p>
      <w:pPr>
        <w:spacing w:after="60" w:line="264"/>
      </w:pPr>
      <w:r>
        <w:rPr>
          <w:rFonts w:ascii="Aptos" w:cs="Aptos" w:eastAsia="Aptos" w:hAnsi="Aptos"/>
          <w:color w:val="000000"/>
          <w:sz w:val="22"/>
          <w:szCs w:val="22"/>
        </w:rPr>
        <w:t xml:space="preserve">⟦hsLead⟧</w:t>
      </w:r>
    </w:p>
    <w:p>
      <w:pPr>
        <w:tabs>
          <w:tab w:val="right" w:pos="9740"/>
        </w:tabs>
        <w:spacing w:after="140"/>
      </w:pPr>
      <w:commentRangeStart w:id="1"/>
      <w:r>
        <w:rPr>
          <w:rFonts w:ascii="Aptos" w:cs="Aptos" w:eastAsia="Aptos" w:hAnsi="Aptos"/>
          <w:sz w:val="22"/>
          <w:szCs w:val="22"/>
          <w:highlight w:val="yellow"/>
        </w:rPr>
        <w:t xml:space="preserve">Managing Director, ⟦legalName⟧	Date: 14/08/2026</w:t>
      </w:r>
      <w:commentRangeEnd w:id="1"/>
      <w:r>
        <w:commentReference w:id="1"/>
      </w:r>
    </w:p>
    <w:p>
      <w:r>
        <w:br w:type="page"/>
      </w:r>
    </w:p>
    <w:p>
      <w:pPr>
        <w:pStyle w:val="Heading1"/>
        <w:spacing w:after="120" w:before="320"/>
      </w:pPr>
      <w:r>
        <w:rPr>
          <w:rFonts w:ascii="Aptos Black" w:cs="Aptos Black" w:eastAsia="Aptos Black" w:hAnsi="Aptos Black"/>
          <w:b/>
          <w:bCs/>
          <w:color w:val="E3DE00"/>
          <w:sz w:val="32"/>
          <w:szCs w:val="32"/>
        </w:rPr>
        <w:t xml:space="preserve">SECTION 2: SCOPE AND LEGAL FRAMEWORK</w:t>
      </w:r>
    </w:p>
    <w:p>
      <w:pPr>
        <w:pStyle w:val="Heading2"/>
        <w:spacing w:after="90" w:before="220"/>
      </w:pPr>
      <w:r>
        <w:rPr>
          <w:rFonts w:ascii="Calibri" w:cs="Calibri" w:eastAsia="Calibri" w:hAnsi="Calibri"/>
          <w:b/>
          <w:bCs/>
          <w:color w:val="002060"/>
          <w:sz w:val="24"/>
          <w:szCs w:val="24"/>
        </w:rPr>
        <w:t xml:space="preserve">Who this applies to</w:t>
      </w:r>
    </w:p>
    <w:p>
      <w:pPr>
        <w:spacing w:after="140" w:line="264"/>
      </w:pPr>
      <w:r>
        <w:rPr>
          <w:rFonts w:ascii="Aptos" w:cs="Aptos" w:eastAsia="Aptos" w:hAnsi="Aptos"/>
          <w:color w:val="000000"/>
          <w:sz w:val="22"/>
          <w:szCs w:val="22"/>
        </w:rPr>
        <w:t xml:space="preserve">⟦short⟧ employs its people directly on PAYE and engages no subcontractors, agency workers, self-employed associates or labour providers. Recruitment is occasional rather than continuous, which means the risk is not that we run a bad process at volume, but that we take someone on in a hurry and skip the check. This procedure exists to stop that.</w:t>
      </w:r>
    </w:p>
    <w:p>
      <w:pPr>
        <w:spacing w:after="140" w:line="264"/>
      </w:pPr>
      <w:r>
        <w:rPr>
          <w:rFonts w:ascii="Aptos" w:cs="Aptos" w:eastAsia="Aptos" w:hAnsi="Aptos"/>
          <w:color w:val="000000"/>
          <w:sz w:val="22"/>
          <w:szCs w:val="22"/>
        </w:rPr>
        <w:t xml:space="preserve">A right to work check has been completed and recorded for every current employee. The Organisation and Scope Statement records the current headcount.</w:t>
      </w:r>
    </w:p>
    <w:p>
      <w:pPr>
        <w:spacing w:after="140" w:line="264"/>
      </w:pPr>
      <w:r>
        <w:rPr>
          <w:rFonts w:ascii="Aptos" w:cs="Aptos" w:eastAsia="Aptos" w:hAnsi="Aptos"/>
          <w:color w:val="000000"/>
          <w:sz w:val="22"/>
          <w:szCs w:val="22"/>
        </w:rPr>
        <w:t xml:space="preserve">From 1 ⟦issueMonth⟧ the duty extends beyond employees to individuals engaged under a worker's contract, individual subcontractors in a contractual chain, and individuals engaged through online platforms. ⟦short⟧ does not currently engage anyone on those terms. The same check in this procedure applies to them from the first such engagement, whenever that happens.</w:t>
      </w:r>
    </w:p>
    <w:p>
      <w:pPr>
        <w:pStyle w:val="Heading2"/>
        <w:spacing w:after="90" w:before="220"/>
      </w:pPr>
      <w:r>
        <w:rPr>
          <w:rFonts w:ascii="Calibri" w:cs="Calibri" w:eastAsia="Calibri" w:hAnsi="Calibri"/>
          <w:b/>
          <w:bCs/>
          <w:color w:val="002060"/>
          <w:sz w:val="24"/>
          <w:szCs w:val="24"/>
        </w:rPr>
        <w:t xml:space="preserve">Legislation and guidance</w:t>
      </w:r>
    </w:p>
    <w:p>
      <w:pPr>
        <w:pStyle w:val="ListParagraph"/>
        <w:numPr>
          <w:ilvl w:val="0"/>
          <w:numId w:val="2"/>
        </w:numPr>
        <w:spacing w:after="70" w:line="264"/>
      </w:pPr>
      <w:r>
        <w:rPr>
          <w:rFonts w:ascii="Aptos" w:cs="Aptos" w:eastAsia="Aptos" w:hAnsi="Aptos"/>
          <w:sz w:val="22"/>
          <w:szCs w:val="22"/>
        </w:rPr>
        <w:t xml:space="preserve">Immigration, Asylum and Nationality Act 2006: the civil penalty regime for employing an illegal worker.</w:t>
      </w:r>
    </w:p>
    <w:p>
      <w:pPr>
        <w:pStyle w:val="ListParagraph"/>
        <w:numPr>
          <w:ilvl w:val="0"/>
          <w:numId w:val="2"/>
        </w:numPr>
        <w:spacing w:after="70" w:line="264"/>
      </w:pPr>
      <w:r>
        <w:rPr>
          <w:rFonts w:ascii="Aptos" w:cs="Aptos" w:eastAsia="Aptos" w:hAnsi="Aptos"/>
          <w:sz w:val="22"/>
          <w:szCs w:val="22"/>
        </w:rPr>
        <w:t xml:space="preserve">Immigration Act 2016: the offence of employing a person the employer knows or has reasonable cause to believe has no right to work.</w:t>
      </w:r>
    </w:p>
    <w:p>
      <w:pPr>
        <w:pStyle w:val="ListParagraph"/>
        <w:numPr>
          <w:ilvl w:val="0"/>
          <w:numId w:val="2"/>
        </w:numPr>
        <w:spacing w:after="70" w:line="264"/>
      </w:pPr>
      <w:r>
        <w:rPr>
          <w:rFonts w:ascii="Aptos" w:cs="Aptos" w:eastAsia="Aptos" w:hAnsi="Aptos"/>
          <w:sz w:val="22"/>
          <w:szCs w:val="22"/>
        </w:rPr>
        <w:t xml:space="preserve">The Home Office publication "Employer's guide to right to work checks", against which this procedure is checked at each annual review.</w:t>
      </w:r>
    </w:p>
    <w:p>
      <w:pPr>
        <w:pStyle w:val="ListParagraph"/>
        <w:numPr>
          <w:ilvl w:val="0"/>
          <w:numId w:val="2"/>
        </w:numPr>
        <w:spacing w:after="70" w:line="264"/>
      </w:pPr>
      <w:r>
        <w:rPr>
          <w:rFonts w:ascii="Aptos" w:cs="Aptos" w:eastAsia="Aptos" w:hAnsi="Aptos"/>
          <w:sz w:val="22"/>
          <w:szCs w:val="22"/>
        </w:rPr>
        <w:t xml:space="preserve">Equality Act 2010: checks must be carried out without discrimination.</w:t>
      </w:r>
    </w:p>
    <w:p>
      <w:pPr>
        <w:pStyle w:val="ListParagraph"/>
        <w:numPr>
          <w:ilvl w:val="0"/>
          <w:numId w:val="2"/>
        </w:numPr>
        <w:spacing w:after="70" w:line="264"/>
      </w:pPr>
      <w:r>
        <w:rPr>
          <w:rFonts w:ascii="Aptos" w:cs="Aptos" w:eastAsia="Aptos" w:hAnsi="Aptos"/>
          <w:sz w:val="22"/>
          <w:szCs w:val="22"/>
        </w:rPr>
        <w:t xml:space="preserve">UK GDPR and the Data Protection Act 2018: the copies we keep are personal data and are held under our Privacy Policy.</w:t>
      </w:r>
    </w:p>
    <w:p>
      <w:pPr>
        <w:pStyle w:val="Heading1"/>
        <w:spacing w:after="120" w:before="320"/>
      </w:pPr>
      <w:r>
        <w:rPr>
          <w:rFonts w:ascii="Aptos Black" w:cs="Aptos Black" w:eastAsia="Aptos Black" w:hAnsi="Aptos Black"/>
          <w:b/>
          <w:bCs/>
          <w:color w:val="E3DE00"/>
          <w:sz w:val="32"/>
          <w:szCs w:val="32"/>
        </w:rPr>
        <w:t xml:space="preserve">SECTION 3: WHEN THE CHECK IS CARRIED OUT</w:t>
      </w:r>
    </w:p>
    <w:p>
      <w:pPr>
        <w:spacing w:after="140" w:line="264"/>
      </w:pPr>
      <w:r>
        <w:rPr>
          <w:rFonts w:ascii="Aptos" w:cs="Aptos" w:eastAsia="Aptos" w:hAnsi="Aptos"/>
          <w:color w:val="000000"/>
          <w:sz w:val="22"/>
          <w:szCs w:val="22"/>
        </w:rPr>
        <w:t xml:space="preserve">The check is carried out on every person we intend to employ, and it is completed and recorded before their employment begins.</w:t>
      </w:r>
    </w:p>
    <w:p>
      <w:pPr>
        <w:pStyle w:val="ListParagraph"/>
        <w:numPr>
          <w:ilvl w:val="0"/>
          <w:numId w:val="2"/>
        </w:numPr>
        <w:spacing w:after="70" w:line="264"/>
      </w:pPr>
      <w:r>
        <w:rPr>
          <w:rFonts w:ascii="Aptos" w:cs="Aptos" w:eastAsia="Aptos" w:hAnsi="Aptos"/>
          <w:sz w:val="22"/>
          <w:szCs w:val="22"/>
        </w:rPr>
        <w:t xml:space="preserve">Every job advertisement and every offer letter states that the appointment is conditional on a satisfactory right to work check.</w:t>
      </w:r>
    </w:p>
    <w:p>
      <w:pPr>
        <w:pStyle w:val="ListParagraph"/>
        <w:numPr>
          <w:ilvl w:val="0"/>
          <w:numId w:val="2"/>
        </w:numPr>
        <w:spacing w:after="70" w:line="264"/>
      </w:pPr>
      <w:r>
        <w:rPr>
          <w:rFonts w:ascii="Aptos" w:cs="Aptos" w:eastAsia="Aptos" w:hAnsi="Aptos"/>
          <w:sz w:val="22"/>
          <w:szCs w:val="22"/>
        </w:rPr>
        <w:t xml:space="preserve">The check is done after the offer is made and before the first day of work. Nobody starts work, attends a client site or goes on the payroll until the check is complete and the record is filed.</w:t>
      </w:r>
    </w:p>
    <w:p>
      <w:pPr>
        <w:pStyle w:val="ListParagraph"/>
        <w:numPr>
          <w:ilvl w:val="0"/>
          <w:numId w:val="2"/>
        </w:numPr>
        <w:spacing w:after="70" w:line="264"/>
      </w:pPr>
      <w:r>
        <w:rPr>
          <w:rFonts w:ascii="Aptos" w:cs="Aptos" w:eastAsia="Aptos" w:hAnsi="Aptos"/>
          <w:sz w:val="22"/>
          <w:szCs w:val="22"/>
        </w:rPr>
        <w:t xml:space="preserve">The same check is applied to every candidate, including candidates the Managing Director already knows personally. Familiarity is not a substitute for a check, and a check that was skipped because someone was known to us gives no statutory excuse at all.</w:t>
      </w:r>
    </w:p>
    <w:p>
      <w:pPr>
        <w:pStyle w:val="ListParagraph"/>
        <w:numPr>
          <w:ilvl w:val="0"/>
          <w:numId w:val="2"/>
        </w:numPr>
        <w:spacing w:after="70" w:line="264"/>
      </w:pPr>
      <w:r>
        <w:rPr>
          <w:rFonts w:ascii="Aptos" w:cs="Aptos" w:eastAsia="Aptos" w:hAnsi="Aptos"/>
          <w:sz w:val="22"/>
          <w:szCs w:val="22"/>
        </w:rPr>
        <w:t xml:space="preserve">Where the person has time-limited permission to work, a follow-up check is carried out before it expires. See Section 6.</w:t>
      </w:r>
    </w:p>
    <w:p>
      <w:pPr>
        <w:pStyle w:val="ListParagraph"/>
        <w:numPr>
          <w:ilvl w:val="0"/>
          <w:numId w:val="2"/>
        </w:numPr>
        <w:spacing w:after="70" w:line="264"/>
      </w:pPr>
      <w:r>
        <w:rPr>
          <w:rFonts w:ascii="Aptos" w:cs="Aptos" w:eastAsia="Aptos" w:hAnsi="Aptos"/>
          <w:sz w:val="22"/>
          <w:szCs w:val="22"/>
        </w:rPr>
        <w:t xml:space="preserve">A check carried out after someone has already started gives no statutory excuse for the period already worked. If we find a check was missed, that person stops work immediately and does not resume until it is done.</w:t>
      </w:r>
    </w:p>
    <w:p>
      <w:pPr>
        <w:pStyle w:val="Heading1"/>
        <w:spacing w:after="120" w:before="320"/>
      </w:pPr>
      <w:r>
        <w:rPr>
          <w:rFonts w:ascii="Aptos Black" w:cs="Aptos Black" w:eastAsia="Aptos Black" w:hAnsi="Aptos Black"/>
          <w:b/>
          <w:bCs/>
          <w:color w:val="E3DE00"/>
          <w:sz w:val="32"/>
          <w:szCs w:val="32"/>
        </w:rPr>
        <w:t xml:space="preserve">SECTION 4: HOW THE CHECK IS CARRIED OUT</w:t>
      </w:r>
    </w:p>
    <w:p>
      <w:pPr>
        <w:spacing w:after="140" w:line="264"/>
      </w:pPr>
      <w:r>
        <w:rPr>
          <w:rFonts w:ascii="Aptos" w:cs="Aptos" w:eastAsia="Aptos" w:hAnsi="Aptos"/>
          <w:color w:val="000000"/>
          <w:sz w:val="22"/>
          <w:szCs w:val="22"/>
        </w:rPr>
        <w:t xml:space="preserve">The Managing Director carries out the check personally, using one of the three prescribed routes below. Only these routes give a statutory excuse.</w:t>
      </w:r>
    </w:p>
    <w:p>
      <w:pPr>
        <w:pStyle w:val="Heading2"/>
        <w:spacing w:after="90" w:before="220"/>
      </w:pPr>
      <w:r>
        <w:rPr>
          <w:rFonts w:ascii="Calibri" w:cs="Calibri" w:eastAsia="Calibri" w:hAnsi="Calibri"/>
          <w:b/>
          <w:bCs/>
          <w:color w:val="002060"/>
          <w:sz w:val="24"/>
          <w:szCs w:val="24"/>
        </w:rPr>
        <w:t xml:space="preserve">4.1 Home Office online check</w:t>
      </w:r>
    </w:p>
    <w:p>
      <w:pPr>
        <w:spacing w:after="140" w:line="264"/>
      </w:pPr>
      <w:r>
        <w:rPr>
          <w:rFonts w:ascii="Aptos" w:cs="Aptos" w:eastAsia="Aptos" w:hAnsi="Aptos"/>
          <w:color w:val="000000"/>
          <w:sz w:val="22"/>
          <w:szCs w:val="22"/>
        </w:rPr>
        <w:t xml:space="preserve">Used for anyone with an eVisa, a biometric residence permit or card, or status under the EU Settlement Scheme, and for anyone who gives us a share code. This is the simplest route and we use it wherever it is available.</w:t>
      </w:r>
    </w:p>
    <w:p>
      <w:pPr>
        <w:pStyle w:val="ListParagraph"/>
        <w:numPr>
          <w:ilvl w:val="0"/>
          <w:numId w:val="2"/>
        </w:numPr>
        <w:spacing w:after="70" w:line="264"/>
      </w:pPr>
      <w:r>
        <w:rPr>
          <w:rFonts w:ascii="Aptos" w:cs="Aptos" w:eastAsia="Aptos" w:hAnsi="Aptos"/>
          <w:sz w:val="22"/>
          <w:szCs w:val="22"/>
        </w:rPr>
        <w:t xml:space="preserve">The individual gives us their nine-character share code, which begins with "W", and their date of birth.</w:t>
      </w:r>
    </w:p>
    <w:p>
      <w:pPr>
        <w:pStyle w:val="ListParagraph"/>
        <w:numPr>
          <w:ilvl w:val="0"/>
          <w:numId w:val="2"/>
        </w:numPr>
        <w:spacing w:after="70" w:line="264"/>
      </w:pPr>
      <w:r>
        <w:rPr>
          <w:rFonts w:ascii="Aptos" w:cs="Aptos" w:eastAsia="Aptos" w:hAnsi="Aptos"/>
          <w:sz w:val="22"/>
          <w:szCs w:val="22"/>
        </w:rPr>
        <w:t xml:space="preserve">We use the Home Office "View a job applicant's right to work details" service, enter the share code and date of birth, and check that the photograph on the response is the person in front of us, either in person or on a video call.</w:t>
      </w:r>
    </w:p>
    <w:p>
      <w:pPr>
        <w:pStyle w:val="ListParagraph"/>
        <w:numPr>
          <w:ilvl w:val="0"/>
          <w:numId w:val="2"/>
        </w:numPr>
        <w:spacing w:after="70" w:line="264"/>
      </w:pPr>
      <w:r>
        <w:rPr>
          <w:rFonts w:ascii="Aptos" w:cs="Aptos" w:eastAsia="Aptos" w:hAnsi="Aptos"/>
          <w:sz w:val="22"/>
          <w:szCs w:val="22"/>
        </w:rPr>
        <w:t xml:space="preserve">We check the share code is valid for employment and has not expired.</w:t>
      </w:r>
    </w:p>
    <w:p>
      <w:pPr>
        <w:pStyle w:val="ListParagraph"/>
        <w:numPr>
          <w:ilvl w:val="0"/>
          <w:numId w:val="2"/>
        </w:numPr>
        <w:spacing w:after="70" w:line="264"/>
      </w:pPr>
      <w:r>
        <w:rPr>
          <w:rFonts w:ascii="Aptos" w:cs="Aptos" w:eastAsia="Aptos" w:hAnsi="Aptos"/>
          <w:sz w:val="22"/>
          <w:szCs w:val="22"/>
        </w:rPr>
        <w:t xml:space="preserve">We save the profile page confirming the right to work as a PDF, and record the date we did the check.</w:t>
      </w:r>
    </w:p>
    <w:p>
      <w:pPr>
        <w:pStyle w:val="Heading2"/>
        <w:spacing w:after="90" w:before="220"/>
      </w:pPr>
      <w:r>
        <w:rPr>
          <w:rFonts w:ascii="Calibri" w:cs="Calibri" w:eastAsia="Calibri" w:hAnsi="Calibri"/>
          <w:b/>
          <w:bCs/>
          <w:color w:val="002060"/>
          <w:sz w:val="24"/>
          <w:szCs w:val="24"/>
        </w:rPr>
        <w:t xml:space="preserve">4.2 Manual document check: the three steps</w:t>
      </w:r>
    </w:p>
    <w:p>
      <w:pPr>
        <w:spacing w:after="140" w:line="264"/>
      </w:pPr>
      <w:r>
        <w:rPr>
          <w:rFonts w:ascii="Aptos" w:cs="Aptos" w:eastAsia="Aptos" w:hAnsi="Aptos"/>
          <w:color w:val="000000"/>
          <w:sz w:val="22"/>
          <w:szCs w:val="22"/>
        </w:rPr>
        <w:t xml:space="preserve">Used where the person holds an acceptable physical document and an online check is not available.</w:t>
      </w:r>
    </w:p>
    <w:p>
      <w:pPr>
        <w:pStyle w:val="ListParagraph"/>
        <w:numPr>
          <w:ilvl w:val="0"/>
          <w:numId w:val="2"/>
        </w:numPr>
        <w:spacing w:after="70" w:line="264"/>
      </w:pPr>
      <w:r>
        <w:rPr>
          <w:rFonts w:ascii="Aptos" w:cs="Aptos" w:eastAsia="Aptos" w:hAnsi="Aptos"/>
          <w:sz w:val="22"/>
          <w:szCs w:val="22"/>
        </w:rPr>
        <w:t xml:space="preserve">Step 1. Obtain the original document from the Home Office list of acceptable documents, List A or List B.</w:t>
      </w:r>
    </w:p>
    <w:p>
      <w:pPr>
        <w:pStyle w:val="ListParagraph"/>
        <w:numPr>
          <w:ilvl w:val="0"/>
          <w:numId w:val="2"/>
        </w:numPr>
        <w:spacing w:after="70" w:line="264"/>
      </w:pPr>
      <w:r>
        <w:rPr>
          <w:rFonts w:ascii="Aptos" w:cs="Aptos" w:eastAsia="Aptos" w:hAnsi="Aptos"/>
          <w:sz w:val="22"/>
          <w:szCs w:val="22"/>
        </w:rPr>
        <w:t xml:space="preserve">Step 2. Check it with the holder present, either face to face or on a live video call with them holding the original. Confirm the photograph and date of birth match the person, that nothing has expired, that any work restriction is noted, that the document has not been tampered with, and that any difference in name across documents is explained by evidence such as a marriage certificate or deed poll.</w:t>
      </w:r>
    </w:p>
    <w:p>
      <w:pPr>
        <w:pStyle w:val="ListParagraph"/>
        <w:numPr>
          <w:ilvl w:val="0"/>
          <w:numId w:val="2"/>
        </w:numPr>
        <w:spacing w:after="70" w:line="264"/>
      </w:pPr>
      <w:r>
        <w:rPr>
          <w:rFonts w:ascii="Aptos" w:cs="Aptos" w:eastAsia="Aptos" w:hAnsi="Aptos"/>
          <w:sz w:val="22"/>
          <w:szCs w:val="22"/>
        </w:rPr>
        <w:t xml:space="preserve">Step 3. Copy it in a format that cannot be altered afterwards, save it securely, and record the date the check was made. For a passport, copy the front cover and every page with the holder's details or a right to work endorsement. For anything else, copy both sides.</w:t>
      </w:r>
    </w:p>
    <w:p>
      <w:pPr>
        <w:pStyle w:val="Heading2"/>
        <w:spacing w:after="90" w:before="220"/>
      </w:pPr>
      <w:r>
        <w:rPr>
          <w:rFonts w:ascii="Calibri" w:cs="Calibri" w:eastAsia="Calibri" w:hAnsi="Calibri"/>
          <w:b/>
          <w:bCs/>
          <w:color w:val="002060"/>
          <w:sz w:val="24"/>
          <w:szCs w:val="24"/>
        </w:rPr>
        <w:t xml:space="preserve">4.3 Identity Service Provider check</w:t>
      </w:r>
    </w:p>
    <w:p>
      <w:pPr>
        <w:spacing w:after="140" w:line="264"/>
      </w:pPr>
      <w:r>
        <w:rPr>
          <w:rFonts w:ascii="Aptos" w:cs="Aptos" w:eastAsia="Aptos" w:hAnsi="Aptos"/>
          <w:color w:val="000000"/>
          <w:sz w:val="22"/>
          <w:szCs w:val="22"/>
        </w:rPr>
        <w:t xml:space="preserve">For British and Irish citizens holding a valid passport or Irish passport card, we may use a certified Identity Service Provider to run a digital identity check. If we use this route we confirm the provider is certified to the required standard, check that the photograph and details match the person, and save the provider's output together with a copy of the document.</w:t>
      </w:r>
    </w:p>
    <w:p>
      <w:pPr>
        <w:pStyle w:val="Heading1"/>
        <w:spacing w:after="120" w:before="320"/>
      </w:pPr>
      <w:r>
        <w:rPr>
          <w:rFonts w:ascii="Aptos Black" w:cs="Aptos Black" w:eastAsia="Aptos Black" w:hAnsi="Aptos Black"/>
          <w:b/>
          <w:bCs/>
          <w:color w:val="E3DE00"/>
          <w:sz w:val="32"/>
          <w:szCs w:val="32"/>
        </w:rPr>
        <w:t xml:space="preserve">SECTION 5: PERMANENT RIGHT TO WORK (LIST A)</w:t>
      </w:r>
    </w:p>
    <w:p>
      <w:pPr>
        <w:spacing w:after="140" w:line="264"/>
      </w:pPr>
      <w:r>
        <w:rPr>
          <w:rFonts w:ascii="Aptos" w:cs="Aptos" w:eastAsia="Aptos" w:hAnsi="Aptos"/>
          <w:color w:val="000000"/>
          <w:sz w:val="22"/>
          <w:szCs w:val="22"/>
        </w:rPr>
        <w:t xml:space="preserve">Where someone has a permanent, unrestricted right to work, we check and copy their documents before they start. That gives a statutory excuse for the whole of their employment and no follow-up check is needed.</w:t>
      </w:r>
    </w:p>
    <w:p>
      <w:pPr>
        <w:spacing w:after="140" w:line="264"/>
      </w:pPr>
      <w:r>
        <w:rPr>
          <w:rFonts w:ascii="Aptos" w:cs="Aptos" w:eastAsia="Aptos" w:hAnsi="Aptos"/>
          <w:color w:val="000000"/>
          <w:sz w:val="22"/>
          <w:szCs w:val="22"/>
        </w:rPr>
        <w:t xml:space="preserve">This covers British and Irish citizens, and anyone with indefinite leave to enter or remain, settled status, or no time limit on their stay. Acceptable evidence includes:</w:t>
      </w:r>
    </w:p>
    <w:p>
      <w:pPr>
        <w:pStyle w:val="ListParagraph"/>
        <w:numPr>
          <w:ilvl w:val="0"/>
          <w:numId w:val="2"/>
        </w:numPr>
        <w:spacing w:after="70" w:line="264"/>
      </w:pPr>
      <w:r>
        <w:rPr>
          <w:rFonts w:ascii="Aptos" w:cs="Aptos" w:eastAsia="Aptos" w:hAnsi="Aptos"/>
          <w:sz w:val="22"/>
          <w:szCs w:val="22"/>
        </w:rPr>
        <w:t xml:space="preserve">A current or expired British or Irish passport, or an Irish passport card.</w:t>
      </w:r>
    </w:p>
    <w:p>
      <w:pPr>
        <w:pStyle w:val="ListParagraph"/>
        <w:numPr>
          <w:ilvl w:val="0"/>
          <w:numId w:val="2"/>
        </w:numPr>
        <w:spacing w:after="70" w:line="264"/>
      </w:pPr>
      <w:r>
        <w:rPr>
          <w:rFonts w:ascii="Aptos" w:cs="Aptos" w:eastAsia="Aptos" w:hAnsi="Aptos"/>
          <w:sz w:val="22"/>
          <w:szCs w:val="22"/>
        </w:rPr>
        <w:t xml:space="preserve">An online check confirming settled status or indefinite leave.</w:t>
      </w:r>
    </w:p>
    <w:p>
      <w:pPr>
        <w:pStyle w:val="ListParagraph"/>
        <w:numPr>
          <w:ilvl w:val="0"/>
          <w:numId w:val="2"/>
        </w:numPr>
        <w:spacing w:after="70" w:line="264"/>
      </w:pPr>
      <w:r>
        <w:rPr>
          <w:rFonts w:ascii="Aptos" w:cs="Aptos" w:eastAsia="Aptos" w:hAnsi="Aptos"/>
          <w:sz w:val="22"/>
          <w:szCs w:val="22"/>
        </w:rPr>
        <w:t xml:space="preserve">A certificate of registration or naturalisation as a British citizen, with an official document showing the person's permanent National Insurance number and name.</w:t>
      </w:r>
    </w:p>
    <w:p>
      <w:pPr>
        <w:pStyle w:val="ListParagraph"/>
        <w:numPr>
          <w:ilvl w:val="0"/>
          <w:numId w:val="2"/>
        </w:numPr>
        <w:spacing w:after="70" w:line="264"/>
      </w:pPr>
      <w:r>
        <w:rPr>
          <w:rFonts w:ascii="Aptos" w:cs="Aptos" w:eastAsia="Aptos" w:hAnsi="Aptos"/>
          <w:sz w:val="22"/>
          <w:szCs w:val="22"/>
        </w:rPr>
        <w:t xml:space="preserve">A UK, Channel Islands, Isle of Man or Irish birth or adoption certificate, with an official document showing the person's permanent National Insurance number and name.</w:t>
      </w:r>
    </w:p>
    <w:p>
      <w:pPr>
        <w:spacing w:after="140" w:line="264"/>
      </w:pPr>
      <w:r>
        <w:rPr>
          <w:rFonts w:ascii="Aptos" w:cs="Aptos" w:eastAsia="Aptos" w:hAnsi="Aptos"/>
          <w:color w:val="000000"/>
          <w:sz w:val="22"/>
          <w:szCs w:val="22"/>
        </w:rPr>
        <w:t xml:space="preserve">The record is kept for the whole of their employment and for two years after it ends.</w:t>
      </w:r>
    </w:p>
    <w:p>
      <w:pPr>
        <w:pStyle w:val="Heading1"/>
        <w:spacing w:after="120" w:before="320"/>
      </w:pPr>
      <w:r>
        <w:rPr>
          <w:rFonts w:ascii="Aptos Black" w:cs="Aptos Black" w:eastAsia="Aptos Black" w:hAnsi="Aptos Black"/>
          <w:b/>
          <w:bCs/>
          <w:color w:val="E3DE00"/>
          <w:sz w:val="32"/>
          <w:szCs w:val="32"/>
        </w:rPr>
        <w:t xml:space="preserve">SECTION 6: TIME-LIMITED RIGHT TO WORK (LIST B) AND FOLLOW-UP CHECKS</w:t>
      </w:r>
    </w:p>
    <w:p>
      <w:pPr>
        <w:spacing w:after="140" w:line="264"/>
      </w:pPr>
      <w:r>
        <w:rPr>
          <w:rFonts w:ascii="Aptos" w:cs="Aptos" w:eastAsia="Aptos" w:hAnsi="Aptos"/>
          <w:color w:val="000000"/>
          <w:sz w:val="22"/>
          <w:szCs w:val="22"/>
        </w:rPr>
        <w:t xml:space="preserve">Where someone's permission to work is time-limited, the initial check gives a statutory excuse only up to the expiry date. A further check is needed before that date, and this is the point at which small employers most often come unstuck, because there is no HR system to prompt anyone.</w:t>
      </w:r>
    </w:p>
    <w:p>
      <w:pPr>
        <w:pStyle w:val="ListParagraph"/>
        <w:numPr>
          <w:ilvl w:val="0"/>
          <w:numId w:val="2"/>
        </w:numPr>
        <w:spacing w:after="70" w:line="264"/>
      </w:pPr>
      <w:r>
        <w:rPr>
          <w:rFonts w:ascii="Aptos" w:cs="Aptos" w:eastAsia="Aptos" w:hAnsi="Aptos"/>
          <w:sz w:val="22"/>
          <w:szCs w:val="22"/>
        </w:rPr>
        <w:t xml:space="preserve">At the moment the initial check is completed, the expiry date is written on the check record and entered as an appointment in the Managing Director's diary, with reminders. ⟦short⟧ does not currently employ anyone whose permission to work is time-limited. This section is reviewed before the Company employs anyone from outside the UK who needs a visa.</w:t>
      </w:r>
    </w:p>
    <w:p>
      <w:pPr>
        <w:pStyle w:val="ListParagraph"/>
        <w:numPr>
          <w:ilvl w:val="0"/>
          <w:numId w:val="2"/>
        </w:numPr>
        <w:spacing w:after="70" w:line="264"/>
      </w:pPr>
      <w:r>
        <w:rPr>
          <w:rFonts w:ascii="Aptos" w:cs="Aptos" w:eastAsia="Aptos" w:hAnsi="Aptos"/>
          <w:sz w:val="22"/>
          <w:szCs w:val="22"/>
        </w:rPr>
        <w:t xml:space="preserve">Reminders are set for eight weeks and four weeks before expiry. At eight weeks we ask the individual in writing for evidence that their permission has been extended.</w:t>
      </w:r>
    </w:p>
    <w:p>
      <w:pPr>
        <w:pStyle w:val="ListParagraph"/>
        <w:numPr>
          <w:ilvl w:val="0"/>
          <w:numId w:val="2"/>
        </w:numPr>
        <w:spacing w:after="70" w:line="264"/>
      </w:pPr>
      <w:r>
        <w:rPr>
          <w:rFonts w:ascii="Aptos" w:cs="Aptos" w:eastAsia="Aptos" w:hAnsi="Aptos"/>
          <w:sz w:val="22"/>
          <w:szCs w:val="22"/>
        </w:rPr>
        <w:t xml:space="preserve">The repeat check is carried out before the expiry date, and we confirm permission has been renewed before the person carries on working. The new expiry date is recorded and diarised the same way.</w:t>
      </w:r>
    </w:p>
    <w:p>
      <w:pPr>
        <w:pStyle w:val="ListParagraph"/>
        <w:numPr>
          <w:ilvl w:val="0"/>
          <w:numId w:val="2"/>
        </w:numPr>
        <w:spacing w:after="70" w:line="264"/>
      </w:pPr>
      <w:r>
        <w:rPr>
          <w:rFonts w:ascii="Aptos" w:cs="Aptos" w:eastAsia="Aptos" w:hAnsi="Aptos"/>
          <w:sz w:val="22"/>
          <w:szCs w:val="22"/>
        </w:rPr>
        <w:t xml:space="preserve">If permission has expired and no renewal has been evidenced, that person stops work immediately. We tell them in writing why, and give them a fair opportunity to provide the evidence.</w:t>
      </w:r>
    </w:p>
    <w:p>
      <w:pPr>
        <w:pStyle w:val="ListParagraph"/>
        <w:numPr>
          <w:ilvl w:val="0"/>
          <w:numId w:val="2"/>
        </w:numPr>
        <w:spacing w:after="70" w:line="264"/>
      </w:pPr>
      <w:r>
        <w:rPr>
          <w:rFonts w:ascii="Aptos" w:cs="Aptos" w:eastAsia="Aptos" w:hAnsi="Aptos"/>
          <w:sz w:val="22"/>
          <w:szCs w:val="22"/>
        </w:rPr>
        <w:t xml:space="preserve">Where the person has an in-time application, appeal or administrative review outstanding and their right to work continues under section 3C of the Immigration Act 1971, we verify it through the Home Office Employer Checking Service and keep the Positive Verification Notice. That gives a statutory excuse for six months from its date, after which we check again. The six-month date is diarised in the same way.</w:t>
      </w:r>
    </w:p>
    <w:p>
      <w:pPr>
        <w:pStyle w:val="ListParagraph"/>
        <w:numPr>
          <w:ilvl w:val="0"/>
          <w:numId w:val="2"/>
        </w:numPr>
        <w:spacing w:after="70" w:line="264"/>
      </w:pPr>
      <w:r>
        <w:rPr>
          <w:rFonts w:ascii="Aptos" w:cs="Aptos" w:eastAsia="Aptos" w:hAnsi="Aptos"/>
          <w:sz w:val="22"/>
          <w:szCs w:val="22"/>
        </w:rPr>
        <w:t xml:space="preserve">Every follow-up record is filed with the original check.</w:t>
      </w:r>
    </w:p>
    <w:p>
      <w:pPr>
        <w:pStyle w:val="Heading1"/>
        <w:spacing w:after="120" w:before="320"/>
      </w:pPr>
      <w:r>
        <w:rPr>
          <w:rFonts w:ascii="Aptos Black" w:cs="Aptos Black" w:eastAsia="Aptos Black" w:hAnsi="Aptos Black"/>
          <w:b/>
          <w:bCs/>
          <w:color w:val="E3DE00"/>
          <w:sz w:val="32"/>
          <w:szCs w:val="32"/>
        </w:rPr>
        <w:t xml:space="preserve">SECTION 7: RESTRICTIONS ON THE WORK IN QUESTION</w:t>
      </w:r>
    </w:p>
    <w:p>
      <w:pPr>
        <w:spacing w:after="140" w:line="264"/>
      </w:pPr>
      <w:r>
        <w:rPr>
          <w:rFonts w:ascii="Aptos" w:cs="Aptos" w:eastAsia="Aptos" w:hAnsi="Aptos"/>
          <w:color w:val="000000"/>
          <w:sz w:val="22"/>
          <w:szCs w:val="22"/>
        </w:rPr>
        <w:t xml:space="preserve">The check is not finished until we have confirmed that the person is not subject to any immigration condition that stops them doing the work we are taking them on to do. This is checked at every initial and follow-up check and recorded on the form at Appendix A.</w:t>
      </w:r>
    </w:p>
    <w:p>
      <w:pPr>
        <w:pStyle w:val="ListParagraph"/>
        <w:numPr>
          <w:ilvl w:val="0"/>
          <w:numId w:val="2"/>
        </w:numPr>
        <w:spacing w:after="70" w:line="264"/>
      </w:pPr>
      <w:r>
        <w:rPr>
          <w:rFonts w:ascii="Aptos" w:cs="Aptos" w:eastAsia="Aptos" w:hAnsi="Aptos"/>
          <w:sz w:val="22"/>
          <w:szCs w:val="22"/>
        </w:rPr>
        <w:t xml:space="preserve">Type of work. Whether their permission limits them to a particular role, employer, occupation code or skill level. Someone sponsored to work for another employer cannot work for us in that capacity.</w:t>
      </w:r>
    </w:p>
    <w:p>
      <w:pPr>
        <w:pStyle w:val="ListParagraph"/>
        <w:numPr>
          <w:ilvl w:val="0"/>
          <w:numId w:val="2"/>
        </w:numPr>
        <w:spacing w:after="70" w:line="264"/>
      </w:pPr>
      <w:r>
        <w:rPr>
          <w:rFonts w:ascii="Aptos" w:cs="Aptos" w:eastAsia="Aptos" w:hAnsi="Aptos"/>
          <w:sz w:val="22"/>
          <w:szCs w:val="22"/>
        </w:rPr>
        <w:t xml:space="preserve">Hours. Whether a weekly limit applies. Most student visa holders may work no more than 20 hours a week in term time, and 10 hours on some courses, with full-time work only in official vacations. If an hours limit applies we get the term and vacation dates from the education provider, write the limit on the personnel record, and manage the person's hours to stay inside it.</w:t>
      </w:r>
    </w:p>
    <w:p>
      <w:pPr>
        <w:pStyle w:val="ListParagraph"/>
        <w:numPr>
          <w:ilvl w:val="0"/>
          <w:numId w:val="2"/>
        </w:numPr>
        <w:spacing w:after="70" w:line="264"/>
      </w:pPr>
      <w:r>
        <w:rPr>
          <w:rFonts w:ascii="Aptos" w:cs="Aptos" w:eastAsia="Aptos" w:hAnsi="Aptos"/>
          <w:sz w:val="22"/>
          <w:szCs w:val="22"/>
        </w:rPr>
        <w:t xml:space="preserve">Self-employment. Some categories of leave prohibit self-employment or running a business. We check this before engaging anyone on anything other than an employment contract.</w:t>
      </w:r>
    </w:p>
    <w:p>
      <w:pPr>
        <w:pStyle w:val="ListParagraph"/>
        <w:numPr>
          <w:ilvl w:val="0"/>
          <w:numId w:val="2"/>
        </w:numPr>
        <w:spacing w:after="70" w:line="264"/>
      </w:pPr>
      <w:r>
        <w:rPr>
          <w:rFonts w:ascii="Aptos" w:cs="Aptos" w:eastAsia="Aptos" w:hAnsi="Aptos"/>
          <w:sz w:val="22"/>
          <w:szCs w:val="22"/>
        </w:rPr>
        <w:t xml:space="preserve">Any other condition. Restrictions on particular occupations, or on recourse to public funds, are noted where they appear on the document or the online response.</w:t>
      </w:r>
    </w:p>
    <w:p>
      <w:pPr>
        <w:spacing w:after="140" w:line="264"/>
      </w:pPr>
      <w:r>
        <w:rPr>
          <w:rFonts w:ascii="Aptos" w:cs="Aptos" w:eastAsia="Aptos" w:hAnsi="Aptos"/>
          <w:color w:val="000000"/>
          <w:sz w:val="22"/>
          <w:szCs w:val="22"/>
        </w:rPr>
        <w:t xml:space="preserve">Where a restriction applies, it is recorded on the check form and on the personnel record, and the Managing Director is told. Where a restriction means the person cannot lawfully do the job, the offer is withdrawn.</w:t>
      </w:r>
    </w:p>
    <w:p>
      <w:pPr>
        <w:pStyle w:val="Heading1"/>
        <w:spacing w:after="120" w:before="320"/>
      </w:pPr>
      <w:r>
        <w:rPr>
          <w:rFonts w:ascii="Aptos Black" w:cs="Aptos Black" w:eastAsia="Aptos Black" w:hAnsi="Aptos Black"/>
          <w:b/>
          <w:bCs/>
          <w:color w:val="E3DE00"/>
          <w:sz w:val="32"/>
          <w:szCs w:val="32"/>
        </w:rPr>
        <w:t xml:space="preserve">SECTION 8: RECORDS AND DATA PROTECTION</w:t>
      </w:r>
    </w:p>
    <w:p>
      <w:pPr>
        <w:pStyle w:val="ListParagraph"/>
        <w:numPr>
          <w:ilvl w:val="0"/>
          <w:numId w:val="2"/>
        </w:numPr>
        <w:spacing w:after="70" w:line="264"/>
      </w:pPr>
      <w:r>
        <w:rPr>
          <w:rFonts w:ascii="Aptos" w:cs="Aptos" w:eastAsia="Aptos" w:hAnsi="Aptos"/>
          <w:sz w:val="22"/>
          <w:szCs w:val="22"/>
        </w:rPr>
        <w:t xml:space="preserve">Copies of documents, online check responses and Positive Verification Notices are saved in the individual's personnel folder in the Company's shared document folder, in a restricted area that only the Managing Director can open.</w:t>
      </w:r>
    </w:p>
    <w:p>
      <w:pPr>
        <w:pStyle w:val="ListParagraph"/>
        <w:numPr>
          <w:ilvl w:val="0"/>
          <w:numId w:val="2"/>
        </w:numPr>
        <w:spacing w:after="70" w:line="264"/>
      </w:pPr>
      <w:r>
        <w:rPr>
          <w:rFonts w:ascii="Aptos" w:cs="Aptos" w:eastAsia="Aptos" w:hAnsi="Aptos"/>
          <w:sz w:val="22"/>
          <w:szCs w:val="22"/>
        </w:rPr>
        <w:t xml:space="preserve">Every record carries the date the check was made. This matters: an undated copy does not give a statutory excuse.</w:t>
      </w:r>
    </w:p>
    <w:p>
      <w:pPr>
        <w:pStyle w:val="ListParagraph"/>
        <w:numPr>
          <w:ilvl w:val="0"/>
          <w:numId w:val="2"/>
        </w:numPr>
        <w:spacing w:after="70" w:line="264"/>
      </w:pPr>
      <w:r>
        <w:rPr>
          <w:rFonts w:ascii="Aptos" w:cs="Aptos" w:eastAsia="Aptos" w:hAnsi="Aptos"/>
          <w:sz w:val="22"/>
          <w:szCs w:val="22"/>
        </w:rPr>
        <w:t xml:space="preserve">The completed form at Appendix A is filed with the copies and signed by the Managing Director.</w:t>
      </w:r>
    </w:p>
    <w:p>
      <w:pPr>
        <w:pStyle w:val="ListParagraph"/>
        <w:numPr>
          <w:ilvl w:val="0"/>
          <w:numId w:val="2"/>
        </w:numPr>
        <w:spacing w:after="70" w:line="264"/>
      </w:pPr>
      <w:r>
        <w:rPr>
          <w:rFonts w:ascii="Aptos" w:cs="Aptos" w:eastAsia="Aptos" w:hAnsi="Aptos"/>
          <w:sz w:val="22"/>
          <w:szCs w:val="22"/>
        </w:rPr>
        <w:t xml:space="preserve">Records are kept for the whole of the person's employment and for two years after it ends, then deleted.</w:t>
      </w:r>
    </w:p>
    <w:p>
      <w:pPr>
        <w:pStyle w:val="ListParagraph"/>
        <w:numPr>
          <w:ilvl w:val="0"/>
          <w:numId w:val="2"/>
        </w:numPr>
        <w:spacing w:after="70" w:line="264"/>
      </w:pPr>
      <w:r>
        <w:rPr>
          <w:rFonts w:ascii="Aptos" w:cs="Aptos" w:eastAsia="Aptos" w:hAnsi="Aptos"/>
          <w:sz w:val="22"/>
          <w:szCs w:val="22"/>
        </w:rPr>
        <w:t xml:space="preserve">They are held under UK GDPR, the Data Protection Act 2018 and the Company's Privacy Policy, and used only to show compliance with immigration law.</w:t>
      </w:r>
    </w:p>
    <w:p>
      <w:pPr>
        <w:pStyle w:val="ListParagraph"/>
        <w:numPr>
          <w:ilvl w:val="0"/>
          <w:numId w:val="2"/>
        </w:numPr>
        <w:spacing w:after="70" w:line="264"/>
      </w:pPr>
      <w:r>
        <w:rPr>
          <w:rFonts w:ascii="Aptos" w:cs="Aptos" w:eastAsia="Aptos" w:hAnsi="Aptos"/>
          <w:sz w:val="22"/>
          <w:szCs w:val="22"/>
        </w:rPr>
        <w:t xml:space="preserve">We will produce them promptly to the Home Office, or to a client or principal contractor where our contract requires it.</w:t>
      </w:r>
    </w:p>
    <w:p>
      <w:pPr>
        <w:pStyle w:val="Heading1"/>
        <w:spacing w:after="120" w:before="320"/>
      </w:pPr>
      <w:r>
        <w:rPr>
          <w:rFonts w:ascii="Aptos Black" w:cs="Aptos Black" w:eastAsia="Aptos Black" w:hAnsi="Aptos Black"/>
          <w:b/>
          <w:bCs/>
          <w:color w:val="E3DE00"/>
          <w:sz w:val="32"/>
          <w:szCs w:val="32"/>
        </w:rPr>
        <w:t xml:space="preserve">SECTION 9: RESPONSIBILITIES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Who</w:t>
            </w:r>
          </w:p>
        </w:tc>
        <w:tc>
          <w:tcPr>
            <w:tcW w:type="dxa" w:w="71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What they are responsible for</w:t>
            </w:r>
          </w:p>
        </w:tc>
      </w:tr>
      <w:tr>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c>
          <w:tcPr>
            <w:tcW w:type="dxa" w:w="7160"/>
            <w:tcMar>
              <w:top w:type="dxa" w:w="60"/>
              <w:left w:type="dxa" w:w="110"/>
              <w:bottom w:type="dxa" w:w="60"/>
              <w:right w:type="dxa" w:w="110"/>
            </w:tcMar>
          </w:tcPr>
          <w:p>
            <w:pPr>
              <w:spacing w:after="40" w:before="40"/>
            </w:pPr>
            <w:r>
              <w:rPr>
                <w:rFonts w:ascii="Aptos" w:cs="Aptos" w:eastAsia="Aptos" w:hAnsi="Aptos"/>
                <w:sz w:val="20"/>
                <w:szCs w:val="20"/>
              </w:rPr>
              <w:t xml:space="preserve">Carries out and records the checks, keeps the follow-up dates diarised, and reviews this procedure annually against the current Home Office guidance.</w:t>
            </w:r>
          </w:p>
        </w:tc>
      </w:tr>
      <w:tr>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Follow-up checks</w:t>
            </w:r>
          </w:p>
        </w:tc>
        <w:tc>
          <w:tcPr>
            <w:tcW w:type="dxa" w:w="7160"/>
            <w:tcMar>
              <w:top w:type="dxa" w:w="60"/>
              <w:left w:type="dxa" w:w="110"/>
              <w:bottom w:type="dxa" w:w="60"/>
              <w:right w:type="dxa" w:w="110"/>
            </w:tcMar>
          </w:tcPr>
          <w:p>
            <w:pPr>
              <w:spacing w:after="40" w:before="40"/>
            </w:pPr>
            <w:r>
              <w:rPr>
                <w:rFonts w:ascii="Aptos" w:cs="Aptos" w:eastAsia="Aptos" w:hAnsi="Aptos"/>
                <w:sz w:val="20"/>
                <w:szCs w:val="20"/>
              </w:rPr>
              <w:t xml:space="preserve">Not currently needed. Reviewed before the Company employs anyone from outside the UK whose permission to work is time-limited.</w:t>
            </w:r>
          </w:p>
        </w:tc>
      </w:tr>
      <w:tr>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All employees</w:t>
            </w:r>
          </w:p>
        </w:tc>
        <w:tc>
          <w:tcPr>
            <w:tcW w:type="dxa" w:w="7160"/>
            <w:tcMar>
              <w:top w:type="dxa" w:w="60"/>
              <w:left w:type="dxa" w:w="110"/>
              <w:bottom w:type="dxa" w:w="60"/>
              <w:right w:type="dxa" w:w="110"/>
            </w:tcMar>
          </w:tcPr>
          <w:p>
            <w:pPr>
              <w:spacing w:after="40" w:before="40"/>
            </w:pPr>
            <w:r>
              <w:rPr>
                <w:rFonts w:ascii="Aptos" w:cs="Aptos" w:eastAsia="Aptos" w:hAnsi="Aptos"/>
                <w:sz w:val="20"/>
                <w:szCs w:val="20"/>
              </w:rPr>
              <w:t xml:space="preserve">Provide the documents or share code required, tell the Company promptly if their immigration status changes, and keep within any hours or work-type restriction that applies to them.</w:t>
            </w:r>
          </w:p>
        </w:tc>
      </w:tr>
    </w:tbl>
    <w:p>
      <w:pPr>
        <w:spacing w:after="140"/>
      </w:pPr>
    </w:p>
    <w:p>
      <w:pPr>
        <w:spacing w:after="140" w:line="264"/>
      </w:pPr>
      <w:r>
        <w:rPr>
          <w:rFonts w:ascii="Aptos" w:cs="Aptos" w:eastAsia="Aptos" w:hAnsi="Aptos"/>
          <w:color w:val="000000"/>
          <w:sz w:val="22"/>
          <w:szCs w:val="22"/>
        </w:rPr>
        <w:t xml:space="preserve">This procedure is reviewed once a year against the current Home Office "Employer's guide to right to work checks", and sooner if the law or the guidance changes, or if the Company starts engaging workers or individual subcontractors.</w:t>
      </w:r>
    </w:p>
    <w:p>
      <w:r>
        <w:br w:type="page"/>
      </w:r>
    </w:p>
    <w:p>
      <w:pPr>
        <w:pStyle w:val="Heading1"/>
        <w:spacing w:after="120" w:before="320"/>
      </w:pPr>
      <w:r>
        <w:rPr>
          <w:rFonts w:ascii="Aptos Black" w:cs="Aptos Black" w:eastAsia="Aptos Black" w:hAnsi="Aptos Black"/>
          <w:b/>
          <w:bCs/>
          <w:color w:val="E3DE00"/>
          <w:sz w:val="32"/>
          <w:szCs w:val="32"/>
        </w:rPr>
        <w:t xml:space="preserve">APPENDIX A: RIGHT TO WORK CHECK RECORD</w:t>
      </w:r>
    </w:p>
    <w:p>
      <w:pPr>
        <w:spacing w:after="140" w:line="264"/>
      </w:pPr>
      <w:r>
        <w:rPr>
          <w:rFonts w:ascii="Aptos" w:cs="Aptos" w:eastAsia="Aptos" w:hAnsi="Aptos"/>
          <w:i/>
          <w:iCs/>
          <w:color w:val="000000"/>
          <w:sz w:val="22"/>
          <w:szCs w:val="22"/>
        </w:rPr>
        <w:t xml:space="preserve">One record per person, completed before they start. File it with the copy of the document or the online check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Full name</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 of birth</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Job title</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Intended start date</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 the check was carried out</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Route used: online share code / manual document check / IDSP</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Share code, if used</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Document seen: type, number, issuing authority</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List A (permanent) or List B (time-limited)?</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Checked with the holder present? In person or video call?</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Photograph and date of birth match the person?</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Names consistent across documents? If not, what evidence was seen</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160"/>
      </w:pPr>
    </w:p>
    <w:p>
      <w:pPr>
        <w:pStyle w:val="Heading2"/>
        <w:spacing w:after="90" w:before="220"/>
      </w:pPr>
      <w:r>
        <w:rPr>
          <w:rFonts w:ascii="Calibri" w:cs="Calibri" w:eastAsia="Calibri" w:hAnsi="Calibri"/>
          <w:b/>
          <w:bCs/>
          <w:color w:val="002060"/>
          <w:sz w:val="24"/>
          <w:szCs w:val="24"/>
        </w:rPr>
        <w:t xml:space="preserve">Time-limited permission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EXPIRY DATE of permission</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Entered in the Managing Director's diary?</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Eight-week and four-week reminders set?</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160"/>
      </w:pPr>
    </w:p>
    <w:p>
      <w:pPr>
        <w:pStyle w:val="Heading2"/>
        <w:spacing w:after="90" w:before="220"/>
      </w:pPr>
      <w:r>
        <w:rPr>
          <w:rFonts w:ascii="Calibri" w:cs="Calibri" w:eastAsia="Calibri" w:hAnsi="Calibri"/>
          <w:b/>
          <w:bCs/>
          <w:color w:val="002060"/>
          <w:sz w:val="24"/>
          <w:szCs w:val="24"/>
        </w:rPr>
        <w:t xml:space="preserve">Restrictions on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Restricted to a particular role, employer or occupation?</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Weekly hours limit? If yes, state the limit</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Term and vacation dates obtained? (students only)</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Self-employment or business activity prohibited?</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Any other condition recorded on the document or response</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CONFIRMED: the person is not subject to any restriction preventing the work in question</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How any restriction will be managed</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Copy saved to the personnel folder and dated?</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Check carried out by</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Signature</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00" w:hRule="atLeast"/>
        </w:trPr>
        <w:tc>
          <w:tcPr>
            <w:tcW w:type="dxa" w:w="36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c>
          <w:tcPr>
            <w:tcW w:type="dxa" w:w="57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140"/>
      </w:pPr>
    </w:p>
    <w:p>
      <w:pPr>
        <w:spacing w:after="140" w:line="264"/>
      </w:pPr>
      <w:r>
        <w:rPr>
          <w:rFonts w:ascii="Aptos" w:cs="Aptos" w:eastAsia="Aptos" w:hAnsi="Aptos"/>
          <w:i/>
          <w:iCs/>
          <w:color w:val="000000"/>
          <w:sz w:val="18"/>
          <w:szCs w:val="18"/>
        </w:rPr>
        <w:t xml:space="preserve">Keep for the whole of the person's employment and for two years afterwards.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Right to Work in the UK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