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comments.xml" ContentType="application/vnd.openxmlformats-officedocument.wordprocessingml.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t>
      </w:r>
    </w:p>
    <w:p>
      <w:pPr>
        <w:spacing w:after="200" w:before="400"/>
        <w:jc w:val="center"/>
      </w:pPr>
      <w:r>
        <w:rPr>
          <w:b w:val="false"/>
          <w:bCs w:val="false"/>
          <w:color w:val="0F9ED5"/>
          <w:sz w:val="96"/>
          <w:szCs w:val="96"/>
        </w:rPr>
        <w:t xml:space="preserve">⟦legalNameUpper⟧</w:t>
      </w:r>
    </w:p>
    <w:p>
      <w:pPr>
        <w:spacing w:before="600"/>
      </w:pPr>
      <w:r>
        <w:t xml:space="preserve"> </w:t>
      </w:r>
    </w:p>
    <w:p>
      <w:pPr>
        <w:spacing w:after="200" w:before="400"/>
        <w:jc w:val="center"/>
      </w:pPr>
      <w:r>
        <w:rPr>
          <w:color w:val="404040"/>
          <w:sz w:val="36"/>
          <w:szCs w:val="36"/>
        </w:rPr>
        <w:t xml:space="preserve">Environmental Refresher Training Programme</w:t>
      </w:r>
    </w:p>
    <w:p>
      <w:r>
        <w:br w:type="page"/>
      </w:r>
    </w:p>
    <w:p>
      <w:pPr>
        <w:spacing w:after="240" w:before="200"/>
      </w:pPr>
      <w:r>
        <w:rPr>
          <w:b/>
          <w:bCs/>
          <w:sz w:val="36"/>
          <w:szCs w:val="36"/>
        </w:rPr>
        <w:t xml:space="preserve">Contents</w:t>
      </w:r>
    </w:p>
    <w:p>
      <w:pPr>
        <w:spacing w:after="60" w:before="60"/>
      </w:pPr>
      <w:r>
        <w:rPr>
          <w:sz w:val="22"/>
          <w:szCs w:val="22"/>
        </w:rPr>
        <w:t xml:space="preserve">Introduction	3</w:t>
      </w:r>
    </w:p>
    <w:p>
      <w:pPr>
        <w:spacing w:after="60" w:before="60"/>
      </w:pPr>
      <w:r>
        <w:rPr>
          <w:sz w:val="22"/>
          <w:szCs w:val="22"/>
        </w:rPr>
        <w:t xml:space="preserve">Objectives	3</w:t>
      </w:r>
    </w:p>
    <w:p>
      <w:pPr>
        <w:spacing w:after="60" w:before="60"/>
      </w:pPr>
      <w:r>
        <w:rPr>
          <w:sz w:val="22"/>
          <w:szCs w:val="22"/>
        </w:rPr>
        <w:t xml:space="preserve">Programme Topics	4</w:t>
      </w:r>
    </w:p>
    <w:p>
      <w:pPr>
        <w:spacing w:after="60" w:before="60"/>
      </w:pPr>
      <w:r>
        <w:rPr>
          <w:sz w:val="22"/>
          <w:szCs w:val="22"/>
        </w:rPr>
        <w:t xml:space="preserve">Twelve-Month Schedule	5</w:t>
      </w:r>
    </w:p>
    <w:p>
      <w:pPr>
        <w:spacing w:after="60" w:before="60"/>
      </w:pPr>
      <w:r>
        <w:rPr>
          <w:sz w:val="22"/>
          <w:szCs w:val="22"/>
        </w:rPr>
        <w:t xml:space="preserve">Delivery and Recording	6</w:t>
      </w:r>
    </w:p>
    <w:p>
      <w:pPr>
        <w:spacing w:after="60" w:before="60"/>
      </w:pPr>
      <w:r>
        <w:rPr>
          <w:sz w:val="22"/>
          <w:szCs w:val="22"/>
        </w:rPr>
        <w:t xml:space="preserve">Review	6</w:t>
      </w:r>
    </w:p>
    <w:p>
      <w:r>
        <w:br w:type="page"/>
      </w:r>
    </w:p>
    <w:p>
      <w:pPr>
        <w:spacing w:after="120" w:before="360"/>
      </w:pPr>
      <w:r>
        <w:rPr>
          <w:color w:val="0F9ED5"/>
          <w:sz w:val="40"/>
          <w:szCs w:val="40"/>
        </w:rPr>
        <w:t xml:space="preserve">Introduction</w:t>
      </w:r>
    </w:p>
    <w:p>
      <w:pPr>
        <w:spacing w:after="80" w:before="80" w:line="300"/>
      </w:pPr>
      <w:r>
        <w:rPr>
          <w:sz w:val="22"/>
          <w:szCs w:val="22"/>
        </w:rPr>
        <w:t xml:space="preserve">This document sets out the Environmental Refresher Training Programme operated by ⟦legalName⟧ (⟦short⟧). It supports the Environmental &amp; Sustainability Policy (⟦short⟧_POL_16), the Environmental Training Arrangements (⟦short⟧_PLN_16A) and the Environmental Training Matrix (⟦short⟧_REC_22).</w:t>
      </w:r>
    </w:p>
    <w:p>
      <w:pPr>
        <w:spacing w:after="80" w:before="80" w:line="300"/>
      </w:pPr>
      <w:commentRangeStart w:id="1"/>
      <w:r>
        <w:rPr>
          <w:sz w:val="22"/>
          <w:szCs w:val="22"/>
          <w:highlight w:val="yellow"/>
        </w:rPr>
        <w:t xml:space="preserve">The programme provides a rolling cycle of training and refresher activity that keeps the workforce up to date on relevant legal requirements, good environmental management practice, and the wider environmental issues most relevant to ⟦short⟧’s activities as a specialist ductwork installer working under Tier 1 principal contractors.</w:t>
      </w:r>
      <w:commentRangeEnd w:id="1"/>
      <w:r>
        <w:commentReference w:id="1"/>
      </w:r>
    </w:p>
    <w:p>
      <w:pPr>
        <w:spacing w:after="120" w:before="360"/>
      </w:pPr>
      <w:r>
        <w:rPr>
          <w:color w:val="0F9ED5"/>
          <w:sz w:val="40"/>
          <w:szCs w:val="40"/>
        </w:rPr>
        <w:t xml:space="preserve">Objectives</w:t>
      </w:r>
    </w:p>
    <w:p>
      <w:pPr>
        <w:spacing w:after="80" w:before="80" w:line="300"/>
      </w:pPr>
      <w:r>
        <w:rPr>
          <w:sz w:val="22"/>
          <w:szCs w:val="22"/>
        </w:rPr>
        <w:t xml:space="preserve">The programme is designed to ensure that all ⟦short⟧ personnel and labour-only sub-contractors maintain current awareness of their environmental responsibilities, that knowledge gained during induction is reinforced and refreshed on a defined cycle, and that emerging legislation, client requirements and industry good practice are reflected in operational delivery.</w:t>
      </w:r>
    </w:p>
    <w:p>
      <w:pPr>
        <w:spacing w:after="120" w:before="360"/>
      </w:pPr>
      <w:r>
        <w:rPr>
          <w:color w:val="0F9ED5"/>
          <w:sz w:val="40"/>
          <w:szCs w:val="40"/>
        </w:rPr>
        <w:t xml:space="preserve">Programme Topics</w:t>
      </w:r>
    </w:p>
    <w:p>
      <w:pPr>
        <w:spacing w:after="80" w:before="80" w:line="300"/>
      </w:pPr>
      <w:r>
        <w:rPr>
          <w:sz w:val="22"/>
          <w:szCs w:val="22"/>
        </w:rPr>
        <w:t xml:space="preserve">The table below sets out the twelve topics that make up the standing programme. Each topic is supported by a documented briefing or toolbox talk and is recorded against the relevant individuals in the Environmental Training Matrix (⟦short⟧_REC_22).</w:t>
      </w:r>
    </w:p>
    <w:p>
      <w:pPr>
        <w:spacing w:after="120" w:before="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160"/>
        <w:gridCol w:w="2700"/>
        <w:gridCol w:w="1620"/>
        <w:gridCol w:w="1620"/>
        <w:gridCol w:w="720"/>
      </w:tblGrid>
      <w:tr>
        <w:trPr>
          <w:tblHeader/>
        </w:trPr>
        <w:tc>
          <w:tcPr>
            <w:tcW w:type="dxa" w:w="540"/>
            <w:tcBorders>
              <w:top w:val="single" w:color="BFBFBF" w:sz="4"/>
              <w:left w:val="single" w:color="BFBFBF" w:sz="4"/>
              <w:bottom w:val="single" w:color="BFBFBF" w:sz="4"/>
              <w:right w:val="single" w:color="BFBFBF" w:sz="4"/>
            </w:tcBorders>
            <w:shd w:fill="0F9ED5" w:val="clear"/>
            <w:tcMar>
              <w:top w:type="dxa" w:w="80"/>
              <w:left w:type="dxa" w:w="100"/>
              <w:bottom w:type="dxa" w:w="80"/>
              <w:right w:type="dxa" w:w="100"/>
            </w:tcMar>
          </w:tcPr>
          <w:p>
            <w:r>
              <w:rPr>
                <w:b/>
                <w:bCs/>
                <w:color w:val="FFFFFF"/>
                <w:sz w:val="18"/>
                <w:szCs w:val="18"/>
              </w:rPr>
              <w:t xml:space="preserve">#</w:t>
            </w:r>
          </w:p>
        </w:tc>
        <w:tc>
          <w:tcPr>
            <w:tcW w:type="dxa" w:w="2160"/>
            <w:tcBorders>
              <w:top w:val="single" w:color="BFBFBF" w:sz="4"/>
              <w:left w:val="single" w:color="BFBFBF" w:sz="4"/>
              <w:bottom w:val="single" w:color="BFBFBF" w:sz="4"/>
              <w:right w:val="single" w:color="BFBFBF" w:sz="4"/>
            </w:tcBorders>
            <w:shd w:fill="0F9ED5" w:val="clear"/>
            <w:tcMar>
              <w:top w:type="dxa" w:w="80"/>
              <w:left w:type="dxa" w:w="100"/>
              <w:bottom w:type="dxa" w:w="80"/>
              <w:right w:type="dxa" w:w="100"/>
            </w:tcMar>
          </w:tcPr>
          <w:p>
            <w:r>
              <w:rPr>
                <w:b/>
                <w:bCs/>
                <w:color w:val="FFFFFF"/>
                <w:sz w:val="18"/>
                <w:szCs w:val="18"/>
              </w:rPr>
              <w:t xml:space="preserve">Topic</w:t>
            </w:r>
          </w:p>
        </w:tc>
        <w:tc>
          <w:tcPr>
            <w:tcW w:type="dxa" w:w="2700"/>
            <w:tcBorders>
              <w:top w:val="single" w:color="BFBFBF" w:sz="4"/>
              <w:left w:val="single" w:color="BFBFBF" w:sz="4"/>
              <w:bottom w:val="single" w:color="BFBFBF" w:sz="4"/>
              <w:right w:val="single" w:color="BFBFBF" w:sz="4"/>
            </w:tcBorders>
            <w:shd w:fill="0F9ED5" w:val="clear"/>
            <w:tcMar>
              <w:top w:type="dxa" w:w="80"/>
              <w:left w:type="dxa" w:w="100"/>
              <w:bottom w:type="dxa" w:w="80"/>
              <w:right w:type="dxa" w:w="100"/>
            </w:tcMar>
          </w:tcPr>
          <w:p>
            <w:r>
              <w:rPr>
                <w:b/>
                <w:bCs/>
                <w:color w:val="FFFFFF"/>
                <w:sz w:val="18"/>
                <w:szCs w:val="18"/>
              </w:rPr>
              <w:t xml:space="preserve">Content Outline</w:t>
            </w:r>
          </w:p>
        </w:tc>
        <w:tc>
          <w:tcPr>
            <w:tcW w:type="dxa" w:w="1620"/>
            <w:tcBorders>
              <w:top w:val="single" w:color="BFBFBF" w:sz="4"/>
              <w:left w:val="single" w:color="BFBFBF" w:sz="4"/>
              <w:bottom w:val="single" w:color="BFBFBF" w:sz="4"/>
              <w:right w:val="single" w:color="BFBFBF" w:sz="4"/>
            </w:tcBorders>
            <w:shd w:fill="0F9ED5" w:val="clear"/>
            <w:tcMar>
              <w:top w:type="dxa" w:w="80"/>
              <w:left w:type="dxa" w:w="100"/>
              <w:bottom w:type="dxa" w:w="80"/>
              <w:right w:type="dxa" w:w="100"/>
            </w:tcMar>
          </w:tcPr>
          <w:p>
            <w:r>
              <w:rPr>
                <w:b/>
                <w:bCs/>
                <w:color w:val="FFFFFF"/>
                <w:sz w:val="18"/>
                <w:szCs w:val="18"/>
              </w:rPr>
              <w:t xml:space="preserve">Delivery Method</w:t>
            </w:r>
          </w:p>
        </w:tc>
        <w:tc>
          <w:tcPr>
            <w:tcW w:type="dxa" w:w="1620"/>
            <w:tcBorders>
              <w:top w:val="single" w:color="BFBFBF" w:sz="4"/>
              <w:left w:val="single" w:color="BFBFBF" w:sz="4"/>
              <w:bottom w:val="single" w:color="BFBFBF" w:sz="4"/>
              <w:right w:val="single" w:color="BFBFBF" w:sz="4"/>
            </w:tcBorders>
            <w:shd w:fill="0F9ED5" w:val="clear"/>
            <w:tcMar>
              <w:top w:type="dxa" w:w="80"/>
              <w:left w:type="dxa" w:w="100"/>
              <w:bottom w:type="dxa" w:w="80"/>
              <w:right w:type="dxa" w:w="100"/>
            </w:tcMar>
          </w:tcPr>
          <w:p>
            <w:r>
              <w:rPr>
                <w:b/>
                <w:bCs/>
                <w:color w:val="FFFFFF"/>
                <w:sz w:val="18"/>
                <w:szCs w:val="18"/>
              </w:rPr>
              <w:t xml:space="preserve">Frequency</w:t>
            </w:r>
          </w:p>
        </w:tc>
        <w:tc>
          <w:tcPr>
            <w:tcW w:type="dxa" w:w="720"/>
            <w:tcBorders>
              <w:top w:val="single" w:color="BFBFBF" w:sz="4"/>
              <w:left w:val="single" w:color="BFBFBF" w:sz="4"/>
              <w:bottom w:val="single" w:color="BFBFBF" w:sz="4"/>
              <w:right w:val="single" w:color="BFBFBF" w:sz="4"/>
            </w:tcBorders>
            <w:shd w:fill="0F9ED5" w:val="clear"/>
            <w:tcMar>
              <w:top w:type="dxa" w:w="80"/>
              <w:left w:type="dxa" w:w="100"/>
              <w:bottom w:type="dxa" w:w="80"/>
              <w:right w:type="dxa" w:w="100"/>
            </w:tcMar>
          </w:tcPr>
          <w:p>
            <w:r>
              <w:rPr>
                <w:b/>
                <w:bCs/>
                <w:color w:val="FFFFFF"/>
                <w:sz w:val="18"/>
                <w:szCs w:val="18"/>
              </w:rPr>
              <w:t xml:space="preserve">Lead</w:t>
            </w:r>
          </w:p>
        </w:tc>
      </w:tr>
      <w:tr>
        <w:tc>
          <w:tcPr>
            <w:tcW w:type="dxa" w:w="5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1</w:t>
            </w:r>
          </w:p>
        </w:tc>
        <w:tc>
          <w:tcPr>
            <w:tcW w:type="dxa" w:w="216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Environmental Legal Framework</w:t>
            </w:r>
          </w:p>
        </w:tc>
        <w:tc>
          <w:tcPr>
            <w:tcW w:type="dxa" w:w="27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Key duties under the Environmental Protection Act 1990, Environment Act 2021, Climate Change Act 2008, Waste Regulations 2011, Hazardous Waste Regulations and CDM 2015.</w:t>
            </w:r>
          </w:p>
        </w:tc>
        <w:tc>
          <w:tcPr>
            <w:tcW w:type="dxa" w:w="16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Annual briefing</w:t>
            </w:r>
          </w:p>
        </w:tc>
        <w:tc>
          <w:tcPr>
            <w:tcW w:type="dxa" w:w="16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Annual</w:t>
            </w:r>
          </w:p>
        </w:tc>
        <w:tc>
          <w:tcPr>
            <w:tcW w:type="dxa" w:w="7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Advisor</w:t>
            </w:r>
          </w:p>
        </w:tc>
      </w:tr>
      <w:tr>
        <w:tc>
          <w:tcPr>
            <w:tcW w:type="dxa" w:w="5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2</w:t>
            </w:r>
          </w:p>
        </w:tc>
        <w:tc>
          <w:tcPr>
            <w:tcW w:type="dxa" w:w="21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Environmental Management Practice</w:t>
            </w:r>
          </w:p>
        </w:tc>
        <w:tc>
          <w:tcPr>
            <w:tcW w:type="dxa" w:w="27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Roles and responsibilities, environmental aspects and impacts, ⟦short⟧ policy commitments, incident and near-miss reporting.</w:t>
            </w:r>
          </w:p>
        </w:tc>
        <w:tc>
          <w:tcPr>
            <w:tcW w:type="dxa" w:w="16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Induction + toolbox talk</w:t>
            </w:r>
          </w:p>
        </w:tc>
        <w:tc>
          <w:tcPr>
            <w:tcW w:type="dxa" w:w="16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Annual</w:t>
            </w:r>
          </w:p>
        </w:tc>
        <w:tc>
          <w:tcPr>
            <w:tcW w:type="dxa" w:w="7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Advisor</w:t>
            </w:r>
          </w:p>
        </w:tc>
      </w:tr>
      <w:tr>
        <w:tc>
          <w:tcPr>
            <w:tcW w:type="dxa" w:w="5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3</w:t>
            </w:r>
          </w:p>
        </w:tc>
        <w:tc>
          <w:tcPr>
            <w:tcW w:type="dxa" w:w="216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Carbon Emissions</w:t>
            </w:r>
          </w:p>
        </w:tc>
        <w:tc>
          <w:tcPr>
            <w:tcW w:type="dxa" w:w="27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Sources of carbon on ⟦short⟧ projects (vehicles, plant, materials), efficient driving, idling, scope 1–3 awareness, route to net zero in construction.</w:t>
            </w:r>
          </w:p>
        </w:tc>
        <w:tc>
          <w:tcPr>
            <w:tcW w:type="dxa" w:w="16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Toolbox talk + SCSS module</w:t>
            </w:r>
          </w:p>
        </w:tc>
        <w:tc>
          <w:tcPr>
            <w:tcW w:type="dxa" w:w="16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Annual</w:t>
            </w:r>
          </w:p>
        </w:tc>
        <w:tc>
          <w:tcPr>
            <w:tcW w:type="dxa" w:w="7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Advisor</w:t>
            </w:r>
          </w:p>
        </w:tc>
      </w:tr>
      <w:tr>
        <w:tc>
          <w:tcPr>
            <w:tcW w:type="dxa" w:w="5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4</w:t>
            </w:r>
          </w:p>
        </w:tc>
        <w:tc>
          <w:tcPr>
            <w:tcW w:type="dxa" w:w="21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Materials Procurement (BES 6001)</w:t>
            </w:r>
          </w:p>
        </w:tc>
        <w:tc>
          <w:tcPr>
            <w:tcW w:type="dxa" w:w="27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commentRangeStart w:id="2"/>
            <w:r>
              <w:rPr>
                <w:b w:val="false"/>
                <w:bCs w:val="false"/>
                <w:color w:val="000000"/>
                <w:sz w:val="18"/>
                <w:szCs w:val="18"/>
                <w:highlight w:val="yellow"/>
              </w:rPr>
              <w:t xml:space="preserve">Responsible sourcing of construction products, BES 6001 framework, what to look for in supplier documentation, ductwork-specific considerations.</w:t>
            </w:r>
            <w:commentRangeEnd w:id="2"/>
            <w:r>
              <w:commentReference w:id="2"/>
            </w:r>
          </w:p>
        </w:tc>
        <w:tc>
          <w:tcPr>
            <w:tcW w:type="dxa" w:w="16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Briefing</w:t>
            </w:r>
          </w:p>
        </w:tc>
        <w:tc>
          <w:tcPr>
            <w:tcW w:type="dxa" w:w="16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Annual</w:t>
            </w:r>
          </w:p>
        </w:tc>
        <w:tc>
          <w:tcPr>
            <w:tcW w:type="dxa" w:w="7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MD / Advisor</w:t>
            </w:r>
          </w:p>
        </w:tc>
      </w:tr>
      <w:tr>
        <w:tc>
          <w:tcPr>
            <w:tcW w:type="dxa" w:w="5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5</w:t>
            </w:r>
          </w:p>
        </w:tc>
        <w:tc>
          <w:tcPr>
            <w:tcW w:type="dxa" w:w="216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Materials Procurement (FSC / PEFC)</w:t>
            </w:r>
          </w:p>
        </w:tc>
        <w:tc>
          <w:tcPr>
            <w:tcW w:type="dxa" w:w="27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FSC and PEFC chain-of-custody for timber and timber-based products, evidencing certification, common pitfalls in site procurement.</w:t>
            </w:r>
          </w:p>
        </w:tc>
        <w:tc>
          <w:tcPr>
            <w:tcW w:type="dxa" w:w="16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Briefing</w:t>
            </w:r>
          </w:p>
        </w:tc>
        <w:tc>
          <w:tcPr>
            <w:tcW w:type="dxa" w:w="16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Annual</w:t>
            </w:r>
          </w:p>
        </w:tc>
        <w:tc>
          <w:tcPr>
            <w:tcW w:type="dxa" w:w="7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MD / Advisor</w:t>
            </w:r>
          </w:p>
        </w:tc>
      </w:tr>
      <w:tr>
        <w:tc>
          <w:tcPr>
            <w:tcW w:type="dxa" w:w="5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6</w:t>
            </w:r>
          </w:p>
        </w:tc>
        <w:tc>
          <w:tcPr>
            <w:tcW w:type="dxa" w:w="21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Noise</w:t>
            </w:r>
          </w:p>
        </w:tc>
        <w:tc>
          <w:tcPr>
            <w:tcW w:type="dxa" w:w="27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Construction noise sources, BS 5228 awareness, neighbour and public considerations, control measures during cutting and drilling activities.</w:t>
            </w:r>
          </w:p>
        </w:tc>
        <w:tc>
          <w:tcPr>
            <w:tcW w:type="dxa" w:w="16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Toolbox talk</w:t>
            </w:r>
          </w:p>
        </w:tc>
        <w:tc>
          <w:tcPr>
            <w:tcW w:type="dxa" w:w="16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Annual</w:t>
            </w:r>
          </w:p>
        </w:tc>
        <w:tc>
          <w:tcPr>
            <w:tcW w:type="dxa" w:w="7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Supervisor</w:t>
            </w:r>
          </w:p>
        </w:tc>
      </w:tr>
      <w:tr>
        <w:tc>
          <w:tcPr>
            <w:tcW w:type="dxa" w:w="5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7</w:t>
            </w:r>
          </w:p>
        </w:tc>
        <w:tc>
          <w:tcPr>
            <w:tcW w:type="dxa" w:w="216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Waste</w:t>
            </w:r>
          </w:p>
        </w:tc>
        <w:tc>
          <w:tcPr>
            <w:tcW w:type="dxa" w:w="27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Waste hierarchy, on-site segregation, Duty of Care paperwork, hazardous waste, prevention of fly-tipping.</w:t>
            </w:r>
          </w:p>
        </w:tc>
        <w:tc>
          <w:tcPr>
            <w:tcW w:type="dxa" w:w="16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Toolbox talk</w:t>
            </w:r>
          </w:p>
        </w:tc>
        <w:tc>
          <w:tcPr>
            <w:tcW w:type="dxa" w:w="16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Six-monthly</w:t>
            </w:r>
          </w:p>
        </w:tc>
        <w:tc>
          <w:tcPr>
            <w:tcW w:type="dxa" w:w="7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Supervisor</w:t>
            </w:r>
          </w:p>
        </w:tc>
      </w:tr>
      <w:tr>
        <w:tc>
          <w:tcPr>
            <w:tcW w:type="dxa" w:w="5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8</w:t>
            </w:r>
          </w:p>
        </w:tc>
        <w:tc>
          <w:tcPr>
            <w:tcW w:type="dxa" w:w="21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Energy</w:t>
            </w:r>
          </w:p>
        </w:tc>
        <w:tc>
          <w:tcPr>
            <w:tcW w:type="dxa" w:w="27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Site energy use, efficient use of plant, generator alternatives, low-energy lighting, fuel storage and consumption monitoring.</w:t>
            </w:r>
          </w:p>
        </w:tc>
        <w:tc>
          <w:tcPr>
            <w:tcW w:type="dxa" w:w="16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Toolbox talk</w:t>
            </w:r>
          </w:p>
        </w:tc>
        <w:tc>
          <w:tcPr>
            <w:tcW w:type="dxa" w:w="16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Annual</w:t>
            </w:r>
          </w:p>
        </w:tc>
        <w:tc>
          <w:tcPr>
            <w:tcW w:type="dxa" w:w="7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Supervisor</w:t>
            </w:r>
          </w:p>
        </w:tc>
      </w:tr>
      <w:tr>
        <w:tc>
          <w:tcPr>
            <w:tcW w:type="dxa" w:w="5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9</w:t>
            </w:r>
          </w:p>
        </w:tc>
        <w:tc>
          <w:tcPr>
            <w:tcW w:type="dxa" w:w="216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Water</w:t>
            </w:r>
          </w:p>
        </w:tc>
        <w:tc>
          <w:tcPr>
            <w:tcW w:type="dxa" w:w="27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Water consumption awareness, prevention of pollution to surface water and drains, controls when working near watercourses, dewatering considerations.</w:t>
            </w:r>
          </w:p>
        </w:tc>
        <w:tc>
          <w:tcPr>
            <w:tcW w:type="dxa" w:w="16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Toolbox talk</w:t>
            </w:r>
          </w:p>
        </w:tc>
        <w:tc>
          <w:tcPr>
            <w:tcW w:type="dxa" w:w="16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Annual</w:t>
            </w:r>
          </w:p>
        </w:tc>
        <w:tc>
          <w:tcPr>
            <w:tcW w:type="dxa" w:w="7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Supervisor</w:t>
            </w:r>
          </w:p>
        </w:tc>
      </w:tr>
      <w:tr>
        <w:tc>
          <w:tcPr>
            <w:tcW w:type="dxa" w:w="5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10</w:t>
            </w:r>
          </w:p>
        </w:tc>
        <w:tc>
          <w:tcPr>
            <w:tcW w:type="dxa" w:w="21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Air Quality</w:t>
            </w:r>
          </w:p>
        </w:tc>
        <w:tc>
          <w:tcPr>
            <w:tcW w:type="dxa" w:w="27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Dust and fume control during cutting/drilling, RPE selection, vehicle emissions, NRMM standards in low-emission zones, neighbour considerations.</w:t>
            </w:r>
          </w:p>
        </w:tc>
        <w:tc>
          <w:tcPr>
            <w:tcW w:type="dxa" w:w="16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Toolbox talk</w:t>
            </w:r>
          </w:p>
        </w:tc>
        <w:tc>
          <w:tcPr>
            <w:tcW w:type="dxa" w:w="16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Annual</w:t>
            </w:r>
          </w:p>
        </w:tc>
        <w:tc>
          <w:tcPr>
            <w:tcW w:type="dxa" w:w="7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Supervisor</w:t>
            </w:r>
          </w:p>
        </w:tc>
      </w:tr>
      <w:tr>
        <w:tc>
          <w:tcPr>
            <w:tcW w:type="dxa" w:w="5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11</w:t>
            </w:r>
          </w:p>
        </w:tc>
        <w:tc>
          <w:tcPr>
            <w:tcW w:type="dxa" w:w="216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Biodiversity</w:t>
            </w:r>
          </w:p>
        </w:tc>
        <w:tc>
          <w:tcPr>
            <w:tcW w:type="dxa" w:w="27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Construction impacts on local biodiversity, protected species and habitats awareness, biodiversity net gain in principle, sensitive working near vegetation.</w:t>
            </w:r>
          </w:p>
        </w:tc>
        <w:tc>
          <w:tcPr>
            <w:tcW w:type="dxa" w:w="16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Briefing</w:t>
            </w:r>
          </w:p>
        </w:tc>
        <w:tc>
          <w:tcPr>
            <w:tcW w:type="dxa" w:w="16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Annual</w:t>
            </w:r>
          </w:p>
        </w:tc>
        <w:tc>
          <w:tcPr>
            <w:tcW w:type="dxa" w:w="7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b w:val="false"/>
                <w:bCs w:val="false"/>
                <w:color w:val="000000"/>
                <w:sz w:val="18"/>
                <w:szCs w:val="18"/>
              </w:rPr>
              <w:t xml:space="preserve">Advisor</w:t>
            </w:r>
          </w:p>
        </w:tc>
      </w:tr>
      <w:tr>
        <w:tc>
          <w:tcPr>
            <w:tcW w:type="dxa" w:w="5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12</w:t>
            </w:r>
          </w:p>
        </w:tc>
        <w:tc>
          <w:tcPr>
            <w:tcW w:type="dxa" w:w="21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Spill Prevention and Response</w:t>
            </w:r>
          </w:p>
        </w:tc>
        <w:tc>
          <w:tcPr>
            <w:tcW w:type="dxa" w:w="27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Storage of fuels, oils and chemicals, bunding, use of spill kits, immediate response and reporting actions.</w:t>
            </w:r>
          </w:p>
        </w:tc>
        <w:tc>
          <w:tcPr>
            <w:tcW w:type="dxa" w:w="16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Toolbox talk + drill</w:t>
            </w:r>
          </w:p>
        </w:tc>
        <w:tc>
          <w:tcPr>
            <w:tcW w:type="dxa" w:w="16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Six-monthly</w:t>
            </w:r>
          </w:p>
        </w:tc>
        <w:tc>
          <w:tcPr>
            <w:tcW w:type="dxa" w:w="7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b w:val="false"/>
                <w:bCs w:val="false"/>
                <w:color w:val="000000"/>
                <w:sz w:val="18"/>
                <w:szCs w:val="18"/>
              </w:rPr>
              <w:t xml:space="preserve">Supervisor</w:t>
            </w:r>
          </w:p>
        </w:tc>
      </w:tr>
    </w:tbl>
    <w:p>
      <w:pPr>
        <w:spacing w:before="240"/>
      </w:pPr>
      <w:r>
        <w:t xml:space="preserve"> </w:t>
      </w:r>
    </w:p>
    <w:p>
      <w:pPr>
        <w:spacing w:after="120" w:before="360"/>
      </w:pPr>
      <w:r>
        <w:rPr>
          <w:color w:val="0F9ED5"/>
          <w:sz w:val="40"/>
          <w:szCs w:val="40"/>
        </w:rPr>
        <w:t xml:space="preserve">Twelve-Month Schedule</w:t>
      </w:r>
    </w:p>
    <w:p>
      <w:pPr>
        <w:spacing w:after="80" w:before="80" w:line="300"/>
      </w:pPr>
      <w:r>
        <w:rPr>
          <w:sz w:val="22"/>
          <w:szCs w:val="22"/>
        </w:rPr>
        <w:t xml:space="preserve">The schedule below sets out how the standing topics are sequenced across the rolling twelve-month cycle. Dates are indicative and may move to align with client and principal contractor requirements; any changes are reviewed and approved by the Managing Director and the appointed external environmental advisor before delivery.</w:t>
      </w:r>
    </w:p>
    <w:p>
      <w:pPr>
        <w:spacing w:after="120" w:before="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4680"/>
        <w:gridCol w:w="2160"/>
        <w:gridCol w:w="1440"/>
      </w:tblGrid>
      <w:tr>
        <w:trPr>
          <w:tblHeader/>
        </w:trPr>
        <w:tc>
          <w:tcPr>
            <w:tcW w:type="dxa" w:w="1080"/>
            <w:tcBorders>
              <w:top w:val="single" w:color="BFBFBF" w:sz="4"/>
              <w:left w:val="single" w:color="BFBFBF" w:sz="4"/>
              <w:bottom w:val="single" w:color="BFBFBF" w:sz="4"/>
              <w:right w:val="single" w:color="BFBFBF" w:sz="4"/>
            </w:tcBorders>
            <w:shd w:fill="0F9ED5" w:val="clear"/>
            <w:tcMar>
              <w:top w:type="dxa" w:w="80"/>
              <w:left w:type="dxa" w:w="120"/>
              <w:bottom w:type="dxa" w:w="80"/>
              <w:right w:type="dxa" w:w="120"/>
            </w:tcMar>
          </w:tcPr>
          <w:p>
            <w:r>
              <w:rPr>
                <w:b/>
                <w:bCs/>
                <w:color w:val="FFFFFF"/>
                <w:sz w:val="18"/>
                <w:szCs w:val="18"/>
              </w:rPr>
              <w:t xml:space="preserve">Month</w:t>
            </w:r>
          </w:p>
        </w:tc>
        <w:tc>
          <w:tcPr>
            <w:tcW w:type="dxa" w:w="4680"/>
            <w:tcBorders>
              <w:top w:val="single" w:color="BFBFBF" w:sz="4"/>
              <w:left w:val="single" w:color="BFBFBF" w:sz="4"/>
              <w:bottom w:val="single" w:color="BFBFBF" w:sz="4"/>
              <w:right w:val="single" w:color="BFBFBF" w:sz="4"/>
            </w:tcBorders>
            <w:shd w:fill="0F9ED5" w:val="clear"/>
            <w:tcMar>
              <w:top w:type="dxa" w:w="80"/>
              <w:left w:type="dxa" w:w="120"/>
              <w:bottom w:type="dxa" w:w="80"/>
              <w:right w:type="dxa" w:w="120"/>
            </w:tcMar>
          </w:tcPr>
          <w:p>
            <w:r>
              <w:rPr>
                <w:b/>
                <w:bCs/>
                <w:color w:val="FFFFFF"/>
                <w:sz w:val="18"/>
                <w:szCs w:val="18"/>
              </w:rPr>
              <w:t xml:space="preserve">Topic</w:t>
            </w:r>
          </w:p>
        </w:tc>
        <w:tc>
          <w:tcPr>
            <w:tcW w:type="dxa" w:w="2160"/>
            <w:tcBorders>
              <w:top w:val="single" w:color="BFBFBF" w:sz="4"/>
              <w:left w:val="single" w:color="BFBFBF" w:sz="4"/>
              <w:bottom w:val="single" w:color="BFBFBF" w:sz="4"/>
              <w:right w:val="single" w:color="BFBFBF" w:sz="4"/>
            </w:tcBorders>
            <w:shd w:fill="0F9ED5" w:val="clear"/>
            <w:tcMar>
              <w:top w:type="dxa" w:w="80"/>
              <w:left w:type="dxa" w:w="120"/>
              <w:bottom w:type="dxa" w:w="80"/>
              <w:right w:type="dxa" w:w="120"/>
            </w:tcMar>
          </w:tcPr>
          <w:p>
            <w:r>
              <w:rPr>
                <w:b/>
                <w:bCs/>
                <w:color w:val="FFFFFF"/>
                <w:sz w:val="18"/>
                <w:szCs w:val="18"/>
              </w:rPr>
              <w:t xml:space="preserve">Delivery Method</w:t>
            </w:r>
          </w:p>
        </w:tc>
        <w:tc>
          <w:tcPr>
            <w:tcW w:type="dxa" w:w="1440"/>
            <w:tcBorders>
              <w:top w:val="single" w:color="BFBFBF" w:sz="4"/>
              <w:left w:val="single" w:color="BFBFBF" w:sz="4"/>
              <w:bottom w:val="single" w:color="BFBFBF" w:sz="4"/>
              <w:right w:val="single" w:color="BFBFBF" w:sz="4"/>
            </w:tcBorders>
            <w:shd w:fill="0F9ED5" w:val="clear"/>
            <w:tcMar>
              <w:top w:type="dxa" w:w="80"/>
              <w:left w:type="dxa" w:w="120"/>
              <w:bottom w:type="dxa" w:w="80"/>
              <w:right w:type="dxa" w:w="120"/>
            </w:tcMar>
          </w:tcPr>
          <w:p>
            <w:r>
              <w:rPr>
                <w:b/>
                <w:bCs/>
                <w:color w:val="FFFFFF"/>
                <w:sz w:val="18"/>
                <w:szCs w:val="18"/>
              </w:rPr>
              <w:t xml:space="preserve">Lead</w:t>
            </w:r>
          </w:p>
        </w:tc>
      </w:tr>
      <w:tr>
        <w:tc>
          <w:tcPr>
            <w:tcW w:type="dxa" w:w="1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commentRangeStart w:id="3"/>
            <w:r>
              <w:rPr>
                <w:b w:val="false"/>
                <w:bCs w:val="false"/>
                <w:color w:val="000000"/>
                <w:sz w:val="18"/>
                <w:szCs w:val="18"/>
                <w:highlight w:val="yellow"/>
              </w:rPr>
              <w:t xml:space="preserve">May 2026</w:t>
            </w:r>
            <w:commentRangeEnd w:id="3"/>
            <w:r>
              <w:commentReference w:id="3"/>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18"/>
                <w:szCs w:val="18"/>
              </w:rPr>
              <w:t xml:space="preserve">Environmental Legal Framework + Policy refresher</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18"/>
                <w:szCs w:val="18"/>
              </w:rPr>
              <w:t xml:space="preserve">Annual briefing</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18"/>
                <w:szCs w:val="18"/>
              </w:rPr>
              <w:t xml:space="preserve">Advisor</w:t>
            </w:r>
          </w:p>
        </w:tc>
      </w:tr>
      <w:tr>
        <w:tc>
          <w:tcPr>
            <w:tcW w:type="dxa" w:w="1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commentRangeStart w:id="4"/>
            <w:r>
              <w:rPr>
                <w:b w:val="false"/>
                <w:bCs w:val="false"/>
                <w:color w:val="000000"/>
                <w:sz w:val="18"/>
                <w:szCs w:val="18"/>
                <w:highlight w:val="yellow"/>
              </w:rPr>
              <w:t xml:space="preserve">Jun 2026</w:t>
            </w:r>
            <w:commentRangeEnd w:id="4"/>
            <w:r>
              <w:commentReference w:id="4"/>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18"/>
                <w:szCs w:val="18"/>
              </w:rPr>
              <w:t xml:space="preserve">Waste Segregation and Duty of Care</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18"/>
                <w:szCs w:val="18"/>
              </w:rPr>
              <w:t xml:space="preserve">Toolbox talk</w:t>
            </w:r>
          </w:p>
        </w:tc>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18"/>
                <w:szCs w:val="18"/>
              </w:rPr>
              <w:t xml:space="preserve">Supervisor</w:t>
            </w:r>
          </w:p>
        </w:tc>
      </w:tr>
      <w:tr>
        <w:tc>
          <w:tcPr>
            <w:tcW w:type="dxa" w:w="1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commentRangeStart w:id="5"/>
            <w:r>
              <w:rPr>
                <w:b w:val="false"/>
                <w:bCs w:val="false"/>
                <w:color w:val="000000"/>
                <w:sz w:val="18"/>
                <w:szCs w:val="18"/>
                <w:highlight w:val="yellow"/>
              </w:rPr>
              <w:t xml:space="preserve">Jul 2026</w:t>
            </w:r>
            <w:commentRangeEnd w:id="5"/>
            <w:r>
              <w:commentReference w:id="5"/>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18"/>
                <w:szCs w:val="18"/>
              </w:rPr>
              <w:t xml:space="preserve">Spill Prevention and Response</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18"/>
                <w:szCs w:val="18"/>
              </w:rPr>
              <w:t xml:space="preserve">Toolbox talk + drill</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18"/>
                <w:szCs w:val="18"/>
              </w:rPr>
              <w:t xml:space="preserve">Supervisor</w:t>
            </w:r>
          </w:p>
        </w:tc>
      </w:tr>
      <w:tr>
        <w:tc>
          <w:tcPr>
            <w:tcW w:type="dxa" w:w="1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commentRangeStart w:id="6"/>
            <w:r>
              <w:rPr>
                <w:b w:val="false"/>
                <w:bCs w:val="false"/>
                <w:color w:val="000000"/>
                <w:sz w:val="18"/>
                <w:szCs w:val="18"/>
                <w:highlight w:val="yellow"/>
              </w:rPr>
              <w:t xml:space="preserve">Aug 2026</w:t>
            </w:r>
            <w:commentRangeEnd w:id="6"/>
            <w:r>
              <w:commentReference w:id="6"/>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18"/>
                <w:szCs w:val="18"/>
              </w:rPr>
              <w:t xml:space="preserve">Carbon Emissions and Efficient Driving</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18"/>
                <w:szCs w:val="18"/>
              </w:rPr>
              <w:t xml:space="preserve">Toolbox talk + SCSS module</w:t>
            </w:r>
          </w:p>
        </w:tc>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18"/>
                <w:szCs w:val="18"/>
              </w:rPr>
              <w:t xml:space="preserve">Advisor</w:t>
            </w:r>
          </w:p>
        </w:tc>
      </w:tr>
      <w:tr>
        <w:tc>
          <w:tcPr>
            <w:tcW w:type="dxa" w:w="1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commentRangeStart w:id="7"/>
            <w:r>
              <w:rPr>
                <w:b w:val="false"/>
                <w:bCs w:val="false"/>
                <w:color w:val="000000"/>
                <w:sz w:val="18"/>
                <w:szCs w:val="18"/>
                <w:highlight w:val="yellow"/>
              </w:rPr>
              <w:t xml:space="preserve">Sep 2026</w:t>
            </w:r>
            <w:commentRangeEnd w:id="7"/>
            <w:r>
              <w:commentReference w:id="7"/>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18"/>
                <w:szCs w:val="18"/>
              </w:rPr>
              <w:t xml:space="preserve">Noise and Air Quality</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18"/>
                <w:szCs w:val="18"/>
              </w:rPr>
              <w:t xml:space="preserve">Combined toolbox talk</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18"/>
                <w:szCs w:val="18"/>
              </w:rPr>
              <w:t xml:space="preserve">Supervisor</w:t>
            </w:r>
          </w:p>
        </w:tc>
      </w:tr>
      <w:tr>
        <w:tc>
          <w:tcPr>
            <w:tcW w:type="dxa" w:w="1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commentRangeStart w:id="8"/>
            <w:r>
              <w:rPr>
                <w:b w:val="false"/>
                <w:bCs w:val="false"/>
                <w:color w:val="000000"/>
                <w:sz w:val="18"/>
                <w:szCs w:val="18"/>
                <w:highlight w:val="yellow"/>
              </w:rPr>
              <w:t xml:space="preserve">Oct 2026</w:t>
            </w:r>
            <w:commentRangeEnd w:id="8"/>
            <w:r>
              <w:commentReference w:id="8"/>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18"/>
                <w:szCs w:val="18"/>
              </w:rPr>
              <w:t xml:space="preserve">Materials Procurement (BES 6001 / FSC / PEFC)</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18"/>
                <w:szCs w:val="18"/>
              </w:rPr>
              <w:t xml:space="preserve">Briefing</w:t>
            </w:r>
          </w:p>
        </w:tc>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18"/>
                <w:szCs w:val="18"/>
              </w:rPr>
              <w:t xml:space="preserve">MD / Advisor</w:t>
            </w:r>
          </w:p>
        </w:tc>
      </w:tr>
      <w:tr>
        <w:tc>
          <w:tcPr>
            <w:tcW w:type="dxa" w:w="1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commentRangeStart w:id="9"/>
            <w:r>
              <w:rPr>
                <w:b w:val="false"/>
                <w:bCs w:val="false"/>
                <w:color w:val="000000"/>
                <w:sz w:val="18"/>
                <w:szCs w:val="18"/>
                <w:highlight w:val="yellow"/>
              </w:rPr>
              <w:t xml:space="preserve">Nov 2026</w:t>
            </w:r>
            <w:commentRangeEnd w:id="9"/>
            <w:r>
              <w:commentReference w:id="9"/>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18"/>
                <w:szCs w:val="18"/>
              </w:rPr>
              <w:t xml:space="preserve">Waste Segregation (six-monthly refresher)</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18"/>
                <w:szCs w:val="18"/>
              </w:rPr>
              <w:t xml:space="preserve">Toolbox talk</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18"/>
                <w:szCs w:val="18"/>
              </w:rPr>
              <w:t xml:space="preserve">Supervisor</w:t>
            </w:r>
          </w:p>
        </w:tc>
      </w:tr>
      <w:tr>
        <w:tc>
          <w:tcPr>
            <w:tcW w:type="dxa" w:w="1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commentRangeStart w:id="10"/>
            <w:r>
              <w:rPr>
                <w:b w:val="false"/>
                <w:bCs w:val="false"/>
                <w:color w:val="000000"/>
                <w:sz w:val="18"/>
                <w:szCs w:val="18"/>
                <w:highlight w:val="yellow"/>
              </w:rPr>
              <w:t xml:space="preserve">Dec 2026</w:t>
            </w:r>
            <w:commentRangeEnd w:id="10"/>
            <w:r>
              <w:commentReference w:id="10"/>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18"/>
                <w:szCs w:val="18"/>
              </w:rPr>
              <w:t xml:space="preserve">Energy and Water</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18"/>
                <w:szCs w:val="18"/>
              </w:rPr>
              <w:t xml:space="preserve">Combined toolbox talk</w:t>
            </w:r>
          </w:p>
        </w:tc>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18"/>
                <w:szCs w:val="18"/>
              </w:rPr>
              <w:t xml:space="preserve">Supervisor</w:t>
            </w:r>
          </w:p>
        </w:tc>
      </w:tr>
      <w:tr>
        <w:tc>
          <w:tcPr>
            <w:tcW w:type="dxa" w:w="1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commentRangeStart w:id="11"/>
            <w:r>
              <w:rPr>
                <w:b w:val="false"/>
                <w:bCs w:val="false"/>
                <w:color w:val="000000"/>
                <w:sz w:val="18"/>
                <w:szCs w:val="18"/>
                <w:highlight w:val="yellow"/>
              </w:rPr>
              <w:t xml:space="preserve">Jan 2027</w:t>
            </w:r>
            <w:commentRangeEnd w:id="11"/>
            <w:r>
              <w:commentReference w:id="11"/>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18"/>
                <w:szCs w:val="18"/>
              </w:rPr>
              <w:t xml:space="preserve">Biodiversity</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18"/>
                <w:szCs w:val="18"/>
              </w:rPr>
              <w:t xml:space="preserve">Briefing</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18"/>
                <w:szCs w:val="18"/>
              </w:rPr>
              <w:t xml:space="preserve">Advisor</w:t>
            </w:r>
          </w:p>
        </w:tc>
      </w:tr>
      <w:tr>
        <w:tc>
          <w:tcPr>
            <w:tcW w:type="dxa" w:w="1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commentRangeStart w:id="12"/>
            <w:r>
              <w:rPr>
                <w:b w:val="false"/>
                <w:bCs w:val="false"/>
                <w:color w:val="000000"/>
                <w:sz w:val="18"/>
                <w:szCs w:val="18"/>
                <w:highlight w:val="yellow"/>
              </w:rPr>
              <w:t xml:space="preserve">Feb 2027</w:t>
            </w:r>
            <w:commentRangeEnd w:id="12"/>
            <w:r>
              <w:commentReference w:id="12"/>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18"/>
                <w:szCs w:val="18"/>
              </w:rPr>
              <w:t xml:space="preserve">Environmental Management Practice (refresher)</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18"/>
                <w:szCs w:val="18"/>
              </w:rPr>
              <w:t xml:space="preserve">Briefing</w:t>
            </w:r>
          </w:p>
        </w:tc>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18"/>
                <w:szCs w:val="18"/>
              </w:rPr>
              <w:t xml:space="preserve">Advisor</w:t>
            </w:r>
          </w:p>
        </w:tc>
      </w:tr>
      <w:tr>
        <w:tc>
          <w:tcPr>
            <w:tcW w:type="dxa" w:w="1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commentRangeStart w:id="13"/>
            <w:r>
              <w:rPr>
                <w:b w:val="false"/>
                <w:bCs w:val="false"/>
                <w:color w:val="000000"/>
                <w:sz w:val="18"/>
                <w:szCs w:val="18"/>
                <w:highlight w:val="yellow"/>
              </w:rPr>
              <w:t xml:space="preserve">Mar 2027</w:t>
            </w:r>
            <w:commentRangeEnd w:id="13"/>
            <w:r>
              <w:commentReference w:id="13"/>
            </w:r>
          </w:p>
        </w:tc>
        <w:tc>
          <w:tcPr>
            <w:tcW w:type="dxa" w:w="4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18"/>
                <w:szCs w:val="18"/>
              </w:rPr>
              <w:t xml:space="preserve">Spill Prevention (six-monthly refresher)</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18"/>
                <w:szCs w:val="18"/>
              </w:rPr>
              <w:t xml:space="preserve">Toolbox talk + drill</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18"/>
                <w:szCs w:val="18"/>
              </w:rPr>
              <w:t xml:space="preserve">Supervisor</w:t>
            </w:r>
          </w:p>
        </w:tc>
      </w:tr>
      <w:tr>
        <w:tc>
          <w:tcPr>
            <w:tcW w:type="dxa" w:w="1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commentRangeStart w:id="14"/>
            <w:r>
              <w:rPr>
                <w:b w:val="false"/>
                <w:bCs w:val="false"/>
                <w:color w:val="000000"/>
                <w:sz w:val="18"/>
                <w:szCs w:val="18"/>
                <w:highlight w:val="yellow"/>
              </w:rPr>
              <w:t xml:space="preserve">Apr 2027</w:t>
            </w:r>
            <w:commentRangeEnd w:id="14"/>
            <w:r>
              <w:commentReference w:id="14"/>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18"/>
                <w:szCs w:val="18"/>
              </w:rPr>
              <w:t xml:space="preserve">Annual review and matrix update</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18"/>
                <w:szCs w:val="18"/>
              </w:rPr>
              <w:t xml:space="preserve">Management review</w:t>
            </w:r>
          </w:p>
        </w:tc>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18"/>
                <w:szCs w:val="18"/>
              </w:rPr>
              <w:t xml:space="preserve">MD / Advisor</w:t>
            </w:r>
          </w:p>
        </w:tc>
      </w:tr>
    </w:tbl>
    <w:p>
      <w:pPr>
        <w:spacing w:before="240"/>
      </w:pPr>
      <w:r>
        <w:t xml:space="preserve"> </w:t>
      </w:r>
    </w:p>
    <w:p>
      <w:pPr>
        <w:spacing w:after="120" w:before="360"/>
      </w:pPr>
      <w:r>
        <w:rPr>
          <w:color w:val="0F9ED5"/>
          <w:sz w:val="40"/>
          <w:szCs w:val="40"/>
        </w:rPr>
        <w:t xml:space="preserve">Delivery and Recording</w:t>
      </w:r>
    </w:p>
    <w:p>
      <w:pPr>
        <w:spacing w:after="80" w:before="80" w:line="300"/>
      </w:pPr>
      <w:r>
        <w:rPr>
          <w:sz w:val="22"/>
          <w:szCs w:val="22"/>
        </w:rPr>
        <w:t xml:space="preserve">Toolbox talks are delivered on site by site supervisors, supported where required by the appointed external environmental advisor. Each delivery is captured on a toolbox talk record (template ⟦short⟧_TBT_16) which records the topic, date, location, the person delivering the talk, and a signed list of attendees confirming their understanding.</w:t>
      </w:r>
    </w:p>
    <w:p>
      <w:pPr>
        <w:spacing w:after="80" w:before="80" w:line="300"/>
      </w:pPr>
      <w:r>
        <w:rPr>
          <w:sz w:val="22"/>
          <w:szCs w:val="22"/>
        </w:rPr>
        <w:t xml:space="preserve">Briefings led by the appointed advisor are delivered either on site, in the office, or by remote means as appropriate to the topic and audience. All training delivered is recorded against the relevant individual in the Environmental Training Matrix.</w:t>
      </w:r>
    </w:p>
    <w:p>
      <w:pPr>
        <w:spacing w:after="120" w:before="360"/>
      </w:pPr>
      <w:r>
        <w:rPr>
          <w:color w:val="0F9ED5"/>
          <w:sz w:val="40"/>
          <w:szCs w:val="40"/>
        </w:rPr>
        <w:t xml:space="preserve">Review</w:t>
      </w:r>
    </w:p>
    <w:p>
      <w:pPr>
        <w:spacing w:after="80" w:before="80" w:line="300"/>
      </w:pPr>
      <w:r>
        <w:rPr>
          <w:sz w:val="22"/>
          <w:szCs w:val="22"/>
        </w:rPr>
        <w:t xml:space="preserve">This programme is reviewed by the Managing Director and the appointed external environmental advisor on at least an annual basis, or sooner where prompted by a change in legislation, client requirement, incident or near-miss outcome, or a change in ⟦short⟧’s scope of works. Any updates are recorded in the version control table at the end of this document.</w:t>
      </w:r>
    </w:p>
    <w:p>
      <w:pPr>
        <w:spacing w:before="360"/>
      </w:pPr>
      <w:r>
        <w:t xml:space="preserve"> </w:t>
      </w:r>
    </w:p>
    <w:p>
      <w:pPr>
        <w:spacing w:before="200"/>
      </w:pPr>
      <w:r>
        <w:rPr>
          <w:sz w:val="22"/>
          <w:szCs w:val="22"/>
        </w:rPr>
        <w:t xml:space="preserve">⟦hsLead⟧</w:t>
      </w:r>
    </w:p>
    <w:p>
      <w:r>
        <w:rPr>
          <w:sz w:val="22"/>
          <w:szCs w:val="22"/>
        </w:rPr>
        <w:t xml:space="preserve">Managing Director, ⟦legalName⟧</w:t>
      </w:r>
    </w:p>
    <w:p>
      <w:pPr>
        <w:spacing w:after="200"/>
      </w:pPr>
      <w:commentRangeStart w:id="15"/>
      <w:r>
        <w:rPr>
          <w:sz w:val="22"/>
          <w:szCs w:val="22"/>
          <w:highlight w:val="yellow"/>
        </w:rPr>
        <w:t xml:space="preserve">Date: 30/04/2026</w:t>
      </w:r>
      <w:commentRangeEnd w:id="15"/>
      <w:r>
        <w:commentReference w:id="15"/>
      </w:r>
    </w:p>
    <w:p>
      <w:pPr>
        <w:spacing w:before="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440"/>
        <w:gridCol w:w="1800"/>
        <w:gridCol w:w="3240"/>
        <w:gridCol w:w="1800"/>
      </w:tblGrid>
      <w:tr>
        <w:tc>
          <w:tcPr>
            <w:tcW w:type="dxa" w:w="1080"/>
            <w:tcBorders>
              <w:top w:val="single" w:color="BFBFBF" w:sz="4"/>
              <w:left w:val="single" w:color="BFBFBF" w:sz="4"/>
              <w:bottom w:val="single" w:color="BFBFBF" w:sz="4"/>
              <w:right w:val="single" w:color="BFBFBF" w:sz="4"/>
            </w:tcBorders>
            <w:shd w:fill="595959" w:val="clear"/>
            <w:tcMar>
              <w:top w:type="dxa" w:w="80"/>
              <w:left w:type="dxa" w:w="120"/>
              <w:bottom w:type="dxa" w:w="80"/>
              <w:right w:type="dxa" w:w="120"/>
            </w:tcMar>
          </w:tcPr>
          <w:p>
            <w:r>
              <w:rPr>
                <w:b/>
                <w:bCs/>
                <w:color w:val="FFFFFF"/>
                <w:sz w:val="20"/>
                <w:szCs w:val="20"/>
              </w:rPr>
              <w:t xml:space="preserve">Version</w:t>
            </w:r>
          </w:p>
        </w:tc>
        <w:tc>
          <w:tcPr>
            <w:tcW w:type="dxa" w:w="1440"/>
            <w:tcBorders>
              <w:top w:val="single" w:color="BFBFBF" w:sz="4"/>
              <w:left w:val="single" w:color="BFBFBF" w:sz="4"/>
              <w:bottom w:val="single" w:color="BFBFBF" w:sz="4"/>
              <w:right w:val="single" w:color="BFBFBF" w:sz="4"/>
            </w:tcBorders>
            <w:shd w:fill="595959" w:val="clear"/>
            <w:tcMar>
              <w:top w:type="dxa" w:w="80"/>
              <w:left w:type="dxa" w:w="120"/>
              <w:bottom w:type="dxa" w:w="80"/>
              <w:right w:type="dxa" w:w="120"/>
            </w:tcMar>
          </w:tcPr>
          <w:p>
            <w:r>
              <w:rPr>
                <w:b/>
                <w:bCs/>
                <w:color w:val="FFFFFF"/>
                <w:sz w:val="20"/>
                <w:szCs w:val="20"/>
              </w:rPr>
              <w:t xml:space="preserve">Date</w:t>
            </w:r>
          </w:p>
        </w:tc>
        <w:tc>
          <w:tcPr>
            <w:tcW w:type="dxa" w:w="1800"/>
            <w:tcBorders>
              <w:top w:val="single" w:color="BFBFBF" w:sz="4"/>
              <w:left w:val="single" w:color="BFBFBF" w:sz="4"/>
              <w:bottom w:val="single" w:color="BFBFBF" w:sz="4"/>
              <w:right w:val="single" w:color="BFBFBF" w:sz="4"/>
            </w:tcBorders>
            <w:shd w:fill="595959" w:val="clear"/>
            <w:tcMar>
              <w:top w:type="dxa" w:w="80"/>
              <w:left w:type="dxa" w:w="120"/>
              <w:bottom w:type="dxa" w:w="80"/>
              <w:right w:type="dxa" w:w="120"/>
            </w:tcMar>
          </w:tcPr>
          <w:p>
            <w:r>
              <w:rPr>
                <w:b/>
                <w:bCs/>
                <w:color w:val="FFFFFF"/>
                <w:sz w:val="20"/>
                <w:szCs w:val="20"/>
              </w:rPr>
              <w:t xml:space="preserve">Author</w:t>
            </w:r>
          </w:p>
        </w:tc>
        <w:tc>
          <w:tcPr>
            <w:tcW w:type="dxa" w:w="3240"/>
            <w:tcBorders>
              <w:top w:val="single" w:color="BFBFBF" w:sz="4"/>
              <w:left w:val="single" w:color="BFBFBF" w:sz="4"/>
              <w:bottom w:val="single" w:color="BFBFBF" w:sz="4"/>
              <w:right w:val="single" w:color="BFBFBF" w:sz="4"/>
            </w:tcBorders>
            <w:shd w:fill="595959" w:val="clear"/>
            <w:tcMar>
              <w:top w:type="dxa" w:w="80"/>
              <w:left w:type="dxa" w:w="120"/>
              <w:bottom w:type="dxa" w:w="80"/>
              <w:right w:type="dxa" w:w="120"/>
            </w:tcMar>
          </w:tcPr>
          <w:p>
            <w:r>
              <w:rPr>
                <w:b/>
                <w:bCs/>
                <w:color w:val="FFFFFF"/>
                <w:sz w:val="20"/>
                <w:szCs w:val="20"/>
              </w:rPr>
              <w:t xml:space="preserve">Description of Changes</w:t>
            </w:r>
          </w:p>
        </w:tc>
        <w:tc>
          <w:tcPr>
            <w:tcW w:type="dxa" w:w="1800"/>
            <w:tcBorders>
              <w:top w:val="single" w:color="BFBFBF" w:sz="4"/>
              <w:left w:val="single" w:color="BFBFBF" w:sz="4"/>
              <w:bottom w:val="single" w:color="BFBFBF" w:sz="4"/>
              <w:right w:val="single" w:color="BFBFBF" w:sz="4"/>
            </w:tcBorders>
            <w:shd w:fill="595959" w:val="clear"/>
            <w:tcMar>
              <w:top w:type="dxa" w:w="80"/>
              <w:left w:type="dxa" w:w="120"/>
              <w:bottom w:type="dxa" w:w="80"/>
              <w:right w:type="dxa" w:w="120"/>
            </w:tcMar>
          </w:tcPr>
          <w:p>
            <w:r>
              <w:rPr>
                <w:b/>
                <w:bCs/>
                <w:color w:val="FFFFFF"/>
                <w:sz w:val="20"/>
                <w:szCs w:val="20"/>
              </w:rPr>
              <w:t xml:space="preserve">Approval By</w:t>
            </w:r>
          </w:p>
        </w:tc>
      </w:tr>
      <w:tr>
        <w:tc>
          <w:tcPr>
            <w:tcW w:type="dxa" w:w="1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1.0</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commentRangeStart w:id="16"/>
            <w:r>
              <w:rPr>
                <w:b w:val="false"/>
                <w:bCs w:val="false"/>
                <w:color w:val="000000"/>
                <w:sz w:val="20"/>
                <w:szCs w:val="20"/>
                <w:highlight w:val="yellow"/>
              </w:rPr>
              <w:t xml:space="preserve">30/04/2026</w:t>
            </w:r>
            <w:commentRangeEnd w:id="16"/>
            <w:r>
              <w:commentReference w:id="16"/>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Simon Archer</w:t>
            </w:r>
          </w:p>
        </w:tc>
        <w:tc>
          <w:tcPr>
            <w:tcW w:type="dxa" w:w="3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Initial creation in response to Common Assessment Standard (Constructionline) training evidence requirements.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⟦hsLead⟧</w:t>
            </w:r>
          </w:p>
        </w:tc>
      </w:tr>
      <w:tr>
        <w:tc>
          <w:tcPr>
            <w:tcW w:type="dxa" w:w="1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
            </w:r>
          </w:p>
        </w:tc>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
            </w:r>
          </w:p>
        </w:tc>
        <w:tc>
          <w:tcPr>
            <w:tcW w:type="dxa" w:w="32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
            </w:r>
          </w:p>
        </w:tc>
      </w:tr>
      <w:tr>
        <w:tc>
          <w:tcPr>
            <w:tcW w:type="dxa" w:w="1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
            </w:r>
          </w:p>
        </w:tc>
        <w:tc>
          <w:tcPr>
            <w:tcW w:type="dxa" w:w="3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
            </w:r>
          </w:p>
        </w:tc>
      </w:tr>
    </w:tbl>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w="http://schemas.openxmlformats.org/wordprocessingml/2006/main">
  <w:comment w:id="1" w:author="AHS Ltd" w:initials="AHS" w:date="2026-10-13T00:00:00Z">
    <w:p>
      <w:r>
        <w:t xml:space="preserve">AHS Ltd review: This was written for a ventilation ductwork contractor. Check it fits ⟦specialism⟧ and rewrite it where it does not.</w:t>
      </w:r>
    </w:p>
  </w:comment>
  <w:comment w:id="2" w:author="AHS Ltd" w:initials="AHS" w:date="2026-10-13T00:00:00Z">
    <w:p>
      <w:r>
        <w:t xml:space="preserve">AHS Ltd review: This was written for a ventilation ductwork contractor. Check it fits ⟦specialism⟧ and rewrite it where it does not.</w:t>
      </w:r>
    </w:p>
  </w:comment>
  <w:comment w:id="3" w:author="AHS Ltd" w:initials="AHS" w:date="2026-10-13T00:00:00Z">
    <w:p>
      <w:r>
        <w:t xml:space="preserve">AHS Ltd review: It carries dates from the original document: check or update them.</w:t>
      </w:r>
    </w:p>
  </w:comment>
  <w:comment w:id="4" w:author="AHS Ltd" w:initials="AHS" w:date="2026-10-13T00:00:00Z">
    <w:p>
      <w:r>
        <w:t xml:space="preserve">AHS Ltd review: It carries dates from the original document: check or update them.</w:t>
      </w:r>
    </w:p>
  </w:comment>
  <w:comment w:id="5" w:author="AHS Ltd" w:initials="AHS" w:date="2026-10-13T00:00:00Z">
    <w:p>
      <w:r>
        <w:t xml:space="preserve">AHS Ltd review: It carries dates from the original document: check or update them.</w:t>
      </w:r>
    </w:p>
  </w:comment>
  <w:comment w:id="6" w:author="AHS Ltd" w:initials="AHS" w:date="2026-10-13T00:00:00Z">
    <w:p>
      <w:r>
        <w:t xml:space="preserve">AHS Ltd review: It carries dates from the original document: check or update them.</w:t>
      </w:r>
    </w:p>
  </w:comment>
  <w:comment w:id="7" w:author="AHS Ltd" w:initials="AHS" w:date="2026-10-13T00:00:00Z">
    <w:p>
      <w:r>
        <w:t xml:space="preserve">AHS Ltd review: It carries dates from the original document: check or update them.</w:t>
      </w:r>
    </w:p>
  </w:comment>
  <w:comment w:id="8" w:author="AHS Ltd" w:initials="AHS" w:date="2026-10-13T00:00:00Z">
    <w:p>
      <w:r>
        <w:t xml:space="preserve">AHS Ltd review: It carries dates from the original document: check or update them.</w:t>
      </w:r>
    </w:p>
  </w:comment>
  <w:comment w:id="9" w:author="AHS Ltd" w:initials="AHS" w:date="2026-10-13T00:00:00Z">
    <w:p>
      <w:r>
        <w:t xml:space="preserve">AHS Ltd review: It carries dates from the original document: check or update them.</w:t>
      </w:r>
    </w:p>
  </w:comment>
  <w:comment w:id="10" w:author="AHS Ltd" w:initials="AHS" w:date="2026-10-13T00:00:00Z">
    <w:p>
      <w:r>
        <w:t xml:space="preserve">AHS Ltd review: It carries dates from the original document: check or update them.</w:t>
      </w:r>
    </w:p>
  </w:comment>
  <w:comment w:id="11" w:author="AHS Ltd" w:initials="AHS" w:date="2026-10-13T00:00:00Z">
    <w:p>
      <w:r>
        <w:t xml:space="preserve">AHS Ltd review: It carries dates from the original document: check or update them.</w:t>
      </w:r>
    </w:p>
  </w:comment>
  <w:comment w:id="12" w:author="AHS Ltd" w:initials="AHS" w:date="2026-10-13T00:00:00Z">
    <w:p>
      <w:r>
        <w:t xml:space="preserve">AHS Ltd review: It carries dates from the original document: check or update them.</w:t>
      </w:r>
    </w:p>
  </w:comment>
  <w:comment w:id="13" w:author="AHS Ltd" w:initials="AHS" w:date="2026-10-13T00:00:00Z">
    <w:p>
      <w:r>
        <w:t xml:space="preserve">AHS Ltd review: It carries dates from the original document: check or update them.</w:t>
      </w:r>
    </w:p>
  </w:comment>
  <w:comment w:id="14" w:author="AHS Ltd" w:initials="AHS" w:date="2026-10-13T00:00:00Z">
    <w:p>
      <w:r>
        <w:t xml:space="preserve">AHS Ltd review: It carries dates from the original document: check or update them.</w:t>
      </w:r>
    </w:p>
  </w:comment>
  <w:comment w:id="15" w:author="AHS Ltd" w:initials="AHS" w:date="2026-10-13T00:00:00Z">
    <w:p>
      <w:r>
        <w:t xml:space="preserve">AHS Ltd review: It carries dates from the original document: check or update them.</w:t>
      </w:r>
    </w:p>
  </w:comment>
  <w:comment w:id="16"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highlight w:val="yellow"/>
      </w:rPr>
      <w:t xml:space="preserve">⟦short⟧_PRG_16B|Version 1.0|Effective 30/04/2026| Page </w:t>
    </w:r>
    <w:r>
      <w:rPr>
        <w:sz w:val="16"/>
        <w:szCs w:val="16"/>
      </w:rPr>
      <w:fldChar w:fldCharType="begin"/>
      <w:instrText xml:space="preserve">PAGE</w:instrText>
      <w:fldChar w:fldCharType="separate"/>
      <w:fldChar w:fldCharType="end"/>
    </w:r>
    <w:r>
      <w:rPr>
        <w:sz w:val="16"/>
        <w:szCs w:val="16"/>
        <w:highlight w:val="yellow"/>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10287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28700" cy="4953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AhsComments" Type="http://schemas.openxmlformats.org/officeDocument/2006/relationships/comments" Target="comment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238e8b814255a704fff3610a1222fc25776b2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Environmental Refresher Training Programme</dc:title>
  <dc:creator>AHS Ltd</dc:creator>
  <cp:lastModifiedBy>AHS Ltd</cp:lastModifiedBy>
</cp:coreProperties>
</file>

<file path=docProps/custom.xml><?xml version="1.0" encoding="utf-8"?>
<Properties xmlns="http://schemas.openxmlformats.org/officeDocument/2006/custom-properties" xmlns:vt="http://schemas.openxmlformats.org/officeDocument/2006/docPropsVTypes"/>
</file>