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spacing w:after="200" w:before="400"/>
        <w:jc w:val="center"/>
      </w:pPr>
      <w:r>
        <w:rPr>
          <w:b w:val="false"/>
          <w:bCs w:val="false"/>
          <w:color w:val="0F9ED5"/>
          <w:sz w:val="96"/>
          <w:szCs w:val="96"/>
        </w:rPr>
        <w:t xml:space="preserve">⟦legalNameUpper⟧</w:t>
      </w:r>
    </w:p>
    <w:p>
      <w:pPr>
        <w:spacing w:before="600"/>
      </w:pPr>
      <w:r>
        <w:t xml:space="preserve"> </w:t>
      </w:r>
    </w:p>
    <w:p>
      <w:pPr>
        <w:spacing w:after="200" w:before="400"/>
        <w:jc w:val="center"/>
      </w:pPr>
      <w:r>
        <w:rPr>
          <w:color w:val="404040"/>
          <w:sz w:val="36"/>
          <w:szCs w:val="36"/>
        </w:rPr>
        <w:t xml:space="preserve">Environmental Training Arrangements</w:t>
      </w:r>
    </w:p>
    <w:p>
      <w:r>
        <w:br w:type="page"/>
      </w:r>
    </w:p>
    <w:p>
      <w:pPr>
        <w:spacing w:after="240" w:before="200"/>
      </w:pPr>
      <w:r>
        <w:rPr>
          <w:b/>
          <w:bCs/>
          <w:sz w:val="36"/>
          <w:szCs w:val="36"/>
        </w:rPr>
        <w:t xml:space="preserve">Contents</w:t>
      </w:r>
    </w:p>
    <w:p>
      <w:pPr>
        <w:spacing w:after="60" w:before="60"/>
      </w:pPr>
      <w:r>
        <w:rPr>
          <w:sz w:val="22"/>
          <w:szCs w:val="22"/>
        </w:rPr>
        <w:t xml:space="preserve">Introduction	3</w:t>
      </w:r>
    </w:p>
    <w:p>
      <w:pPr>
        <w:spacing w:after="60" w:before="60"/>
      </w:pPr>
      <w:r>
        <w:rPr>
          <w:sz w:val="22"/>
          <w:szCs w:val="22"/>
        </w:rPr>
        <w:t xml:space="preserve">Roles and Accountabilities	3</w:t>
      </w:r>
    </w:p>
    <w:p>
      <w:pPr>
        <w:spacing w:after="60" w:before="60"/>
      </w:pPr>
      <w:r>
        <w:rPr>
          <w:sz w:val="22"/>
          <w:szCs w:val="22"/>
        </w:rPr>
        <w:t xml:space="preserve">Induction Training	3</w:t>
      </w:r>
    </w:p>
    <w:p>
      <w:pPr>
        <w:spacing w:after="60" w:before="60"/>
      </w:pPr>
      <w:r>
        <w:rPr>
          <w:sz w:val="22"/>
          <w:szCs w:val="22"/>
        </w:rPr>
        <w:t xml:space="preserve">Topic-Specific Training	4</w:t>
      </w:r>
    </w:p>
    <w:p>
      <w:pPr>
        <w:spacing w:after="60" w:before="60"/>
      </w:pPr>
      <w:r>
        <w:rPr>
          <w:sz w:val="22"/>
          <w:szCs w:val="22"/>
        </w:rPr>
        <w:t xml:space="preserve">Accredited External Training	4</w:t>
      </w:r>
    </w:p>
    <w:p>
      <w:pPr>
        <w:spacing w:after="60" w:before="60"/>
      </w:pPr>
      <w:r>
        <w:rPr>
          <w:sz w:val="22"/>
          <w:szCs w:val="22"/>
        </w:rPr>
        <w:t xml:space="preserve">Verification of Understanding	5</w:t>
      </w:r>
    </w:p>
    <w:p>
      <w:pPr>
        <w:spacing w:after="60" w:before="60"/>
      </w:pPr>
      <w:r>
        <w:rPr>
          <w:sz w:val="22"/>
          <w:szCs w:val="22"/>
        </w:rPr>
        <w:t xml:space="preserve">Records and Retention	5</w:t>
      </w:r>
    </w:p>
    <w:p>
      <w:r>
        <w:br w:type="page"/>
      </w:r>
    </w:p>
    <w:p>
      <w:pPr>
        <w:spacing w:after="120" w:before="360"/>
      </w:pPr>
      <w:r>
        <w:rPr>
          <w:color w:val="0F9ED5"/>
          <w:sz w:val="40"/>
          <w:szCs w:val="40"/>
        </w:rPr>
        <w:t xml:space="preserve">Introduction</w:t>
      </w:r>
    </w:p>
    <w:p>
      <w:pPr>
        <w:spacing w:after="80" w:before="80" w:line="300"/>
      </w:pPr>
      <w:r>
        <w:rPr>
          <w:sz w:val="22"/>
          <w:szCs w:val="22"/>
        </w:rPr>
        <w:t xml:space="preserve">This document sets out the training arrangements that ⟦legalName⟧ (⟦short⟧) has put in place to ensure that its workforce has sufficient skills, knowledge and understanding to identify and manage the environmental aspects of its activities. It supports the Environmental &amp; Sustainability Policy (⟦short⟧_POL_16), the Environmental Training Matrix (⟦short⟧_REC_22) and the Environmental Refresher Training Programme (⟦short⟧_PRG_16B).</w:t>
      </w:r>
    </w:p>
    <w:p>
      <w:pPr>
        <w:spacing w:after="80" w:before="80" w:line="300"/>
      </w:pPr>
      <w:commentRangeStart w:id="1"/>
      <w:r>
        <w:rPr>
          <w:sz w:val="22"/>
          <w:szCs w:val="22"/>
          <w:highlight w:val="yellow"/>
        </w:rPr>
        <w:t xml:space="preserve">The arrangements described here are proportionate to ⟦short⟧’s size, scope and operational profile as a specialist ductwork installer working under Tier 1 principal contractors in the United Kingdom construction sector.</w:t>
      </w:r>
      <w:commentRangeEnd w:id="1"/>
      <w:r>
        <w:commentReference w:id="1"/>
      </w:r>
    </w:p>
    <w:p>
      <w:pPr>
        <w:spacing w:after="120" w:before="360"/>
      </w:pPr>
      <w:r>
        <w:rPr>
          <w:color w:val="0F9ED5"/>
          <w:sz w:val="40"/>
          <w:szCs w:val="40"/>
        </w:rPr>
        <w:t xml:space="preserve">Roles and Accountabilities</w:t>
      </w:r>
    </w:p>
    <w:p>
      <w:pPr>
        <w:spacing w:after="80" w:before="80" w:line="300"/>
      </w:pPr>
      <w:r>
        <w:rPr>
          <w:sz w:val="22"/>
          <w:szCs w:val="22"/>
        </w:rPr>
        <w:t xml:space="preserve">The Managing Director retains overall accountability for ensuring that the workforce is adequately trained to deliver ⟦short⟧’s environmental obligations. Day-to-day responsibility for the design, delivery and review of training is delegated to Archer Health and Safety Limited, represented by Simon Archer, who acts as the company’s appointed external environmental advisor.</w:t>
      </w:r>
    </w:p>
    <w:p>
      <w:pPr>
        <w:spacing w:after="80" w:before="80" w:line="300"/>
      </w:pPr>
      <w:r>
        <w:rPr>
          <w:sz w:val="22"/>
          <w:szCs w:val="22"/>
        </w:rPr>
        <w:t xml:space="preserve">Site supervisors are responsible for ensuring that operatives under their control attend induction and toolbox talks, that records and signatures are captured at the point of delivery, and that any concerns relating to competence are escalated promptly.</w:t>
      </w:r>
    </w:p>
    <w:p>
      <w:pPr>
        <w:spacing w:after="120" w:before="360"/>
      </w:pPr>
      <w:r>
        <w:rPr>
          <w:color w:val="0F9ED5"/>
          <w:sz w:val="40"/>
          <w:szCs w:val="40"/>
        </w:rPr>
        <w:t xml:space="preserve">Induction Training</w:t>
      </w:r>
    </w:p>
    <w:p>
      <w:pPr>
        <w:spacing w:after="80" w:before="80" w:line="300"/>
      </w:pPr>
      <w:commentRangeStart w:id="2"/>
      <w:r>
        <w:rPr>
          <w:sz w:val="22"/>
          <w:szCs w:val="22"/>
          <w:highlight w:val="yellow"/>
        </w:rPr>
        <w:t xml:space="preserve">All employees and labour-only sub-contractors receive an environmental briefing as part of ⟦short⟧’s site induction before commencing work. The briefing covers the company’s environmental policy commitments, the principal environmental aspects associated with ductwork installation works, the waste hierarchy and segregation expectations, spill and pollution prevention, and the procedure for reporting environmental incidents and near misses.</w:t>
      </w:r>
      <w:commentRangeEnd w:id="2"/>
      <w:r>
        <w:commentReference w:id="2"/>
      </w:r>
    </w:p>
    <w:p>
      <w:pPr>
        <w:spacing w:after="80" w:before="80" w:line="300"/>
      </w:pPr>
      <w:r>
        <w:rPr>
          <w:sz w:val="22"/>
          <w:szCs w:val="22"/>
        </w:rPr>
        <w:t xml:space="preserve">The induction is delivered by the site supervisor or the appointed advisor and is acknowledged by signature on the induction record. The induction record is retained by the company and referenced in the Environmental Training Matrix.</w:t>
      </w:r>
    </w:p>
    <w:p>
      <w:pPr>
        <w:spacing w:after="120" w:before="360"/>
      </w:pPr>
      <w:r>
        <w:rPr>
          <w:color w:val="0F9ED5"/>
          <w:sz w:val="40"/>
          <w:szCs w:val="40"/>
        </w:rPr>
        <w:t xml:space="preserve">Topic-Specific Training</w:t>
      </w:r>
    </w:p>
    <w:p>
      <w:pPr>
        <w:spacing w:after="80" w:before="80" w:line="300"/>
      </w:pPr>
      <w:r>
        <w:rPr>
          <w:sz w:val="22"/>
          <w:szCs w:val="22"/>
        </w:rPr>
        <w:t xml:space="preserve">Topic-specific training is delivered through a rolling programme of toolbox talks and short briefings. Topic selection is informed by the principal environmental aspects identified in the policy, by client and principal contractor requirements, and by feedback from supervision and incident reporting.</w:t>
      </w:r>
    </w:p>
    <w:p>
      <w:pPr>
        <w:spacing w:after="80" w:before="80" w:line="300"/>
      </w:pPr>
      <w:r>
        <w:rPr>
          <w:sz w:val="22"/>
          <w:szCs w:val="22"/>
        </w:rPr>
        <w:t xml:space="preserve">Standing topics include waste segregation and Duty of Care, spill prevention and response, noise and dust control, energy and fuel efficiency, materials procurement and responsible sourcing (including recognised certification schemes such as BES 6001 and FSC/PEFC), air quality and biodiversity. Each topic is supported by a documented toolbox talk record signed by all attendees.</w:t>
      </w:r>
    </w:p>
    <w:p>
      <w:pPr>
        <w:spacing w:after="120" w:before="360"/>
      </w:pPr>
      <w:r>
        <w:rPr>
          <w:color w:val="0F9ED5"/>
          <w:sz w:val="40"/>
          <w:szCs w:val="40"/>
        </w:rPr>
        <w:t xml:space="preserve">Accredited External Training</w:t>
      </w:r>
    </w:p>
    <w:p>
      <w:pPr>
        <w:spacing w:after="80" w:before="80" w:line="300"/>
      </w:pPr>
      <w:r>
        <w:rPr>
          <w:sz w:val="22"/>
          <w:szCs w:val="22"/>
        </w:rPr>
        <w:t xml:space="preserve">To supplement in-house training, ⟦short⟧ personnel are enrolled on accredited e-learning modules made available through the Supply Chain Sustainability School. The Managing Director and site supervisors are required to complete the “Introduction to Environmental Management” module as a minimum, with additional modules in waste, carbon, materials and biodiversity completed on a rolling basis. CPD certificates are retained as supplementary evidence and recorded in the training matrix.</w:t>
      </w:r>
    </w:p>
    <w:p>
      <w:pPr>
        <w:spacing w:after="80" w:before="80" w:line="300"/>
      </w:pPr>
      <w:r>
        <w:rPr>
          <w:sz w:val="22"/>
          <w:szCs w:val="22"/>
        </w:rPr>
        <w:t xml:space="preserve">Where a project, client or change in legislation requires specialist training that exceeds in-house capability, additional external training is sourced via accredited providers and recorded in the matrix.</w:t>
      </w:r>
    </w:p>
    <w:p>
      <w:pPr>
        <w:spacing w:after="120" w:before="360"/>
      </w:pPr>
      <w:r>
        <w:rPr>
          <w:color w:val="0F9ED5"/>
          <w:sz w:val="40"/>
          <w:szCs w:val="40"/>
        </w:rPr>
        <w:t xml:space="preserve">Verification of Understanding</w:t>
      </w:r>
    </w:p>
    <w:p>
      <w:pPr>
        <w:spacing w:after="80" w:before="80" w:line="300"/>
      </w:pPr>
      <w:r>
        <w:rPr>
          <w:sz w:val="22"/>
          <w:szCs w:val="22"/>
        </w:rPr>
        <w:t xml:space="preserve">Understanding is verified by a combination of signed acknowledgement at the point of delivery, supervisor observation of behaviour on site, and the company’s incident and near-miss reporting record. Where understanding is identified as inadequate, additional briefing is delivered and recorded.</w:t>
      </w:r>
    </w:p>
    <w:p>
      <w:pPr>
        <w:spacing w:after="120" w:before="360"/>
      </w:pPr>
      <w:r>
        <w:rPr>
          <w:color w:val="0F9ED5"/>
          <w:sz w:val="40"/>
          <w:szCs w:val="40"/>
        </w:rPr>
        <w:t xml:space="preserve">Records and Retention</w:t>
      </w:r>
    </w:p>
    <w:p>
      <w:pPr>
        <w:spacing w:after="80" w:before="80" w:line="300"/>
      </w:pPr>
      <w:r>
        <w:rPr>
          <w:sz w:val="22"/>
          <w:szCs w:val="22"/>
        </w:rPr>
        <w:t xml:space="preserve">Induction records, toolbox talk attendance sheets, training certificates and the Environmental Training Matrix are retained by ⟦short⟧ for a minimum of three years, or longer where required by client or contractual obligations. Records are made available to clients, principal contractors and assessors on request.</w:t>
      </w:r>
    </w:p>
    <w:p>
      <w:pPr>
        <w:spacing w:before="360"/>
      </w:pPr>
      <w:r>
        <w:t xml:space="preserve"> </w:t>
      </w:r>
    </w:p>
    <w:p>
      <w:pPr>
        <w:spacing w:before="200"/>
      </w:pPr>
      <w:r>
        <w:rPr>
          <w:sz w:val="22"/>
          <w:szCs w:val="22"/>
        </w:rPr>
        <w:t xml:space="preserve">⟦hsLead⟧</w:t>
      </w:r>
    </w:p>
    <w:p>
      <w:r>
        <w:rPr>
          <w:sz w:val="22"/>
          <w:szCs w:val="22"/>
        </w:rPr>
        <w:t xml:space="preserve">Managing Director, ⟦legalName⟧</w:t>
      </w:r>
    </w:p>
    <w:p>
      <w:pPr>
        <w:spacing w:after="200"/>
      </w:pPr>
      <w:commentRangeStart w:id="3"/>
      <w:r>
        <w:rPr>
          <w:sz w:val="22"/>
          <w:szCs w:val="22"/>
          <w:highlight w:val="yellow"/>
        </w:rPr>
        <w:t xml:space="preserve">Date: 30/04/2026</w:t>
      </w:r>
      <w:commentRangeEnd w:id="3"/>
      <w:r>
        <w:commentReference w:id="3"/>
      </w:r>
    </w:p>
    <w:p>
      <w:pPr>
        <w:spacing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3240"/>
        <w:gridCol w:w="1800"/>
      </w:tblGrid>
      <w:tr>
        <w:tc>
          <w:tcPr>
            <w:tcW w:type="dxa" w:w="108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Version</w:t>
            </w:r>
          </w:p>
        </w:tc>
        <w:tc>
          <w:tcPr>
            <w:tcW w:type="dxa" w:w="14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Author</w:t>
            </w:r>
          </w:p>
        </w:tc>
        <w:tc>
          <w:tcPr>
            <w:tcW w:type="dxa" w:w="32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Description of Changes</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Approval By</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4"/>
            <w:r>
              <w:rPr>
                <w:b w:val="false"/>
                <w:bCs w:val="false"/>
                <w:color w:val="000000"/>
                <w:sz w:val="20"/>
                <w:szCs w:val="20"/>
                <w:highlight w:val="yellow"/>
              </w:rPr>
              <w:t xml:space="preserve">30/04/2026</w:t>
            </w:r>
            <w:commentRangeEnd w:id="4"/>
            <w:r>
              <w:commentReference w:id="4"/>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Simon Archer</w:t>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Initial creation in response to Common Assessment Standard (Constructionline) training evidence requirements.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⟦hsLead⟧</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highlight w:val="yellow"/>
      </w:rPr>
      <w:t xml:space="preserve">⟦short⟧_PLN_16A|Version 1.0|Effective 30/04/2026| Page </w:t>
    </w:r>
    <w:r>
      <w:rPr>
        <w:sz w:val="16"/>
        <w:szCs w:val="16"/>
      </w:rPr>
      <w:fldChar w:fldCharType="begin"/>
      <w:instrText xml:space="preserve">PAGE</w:instrText>
      <w:fldChar w:fldCharType="separate"/>
      <w:fldChar w:fldCharType="end"/>
    </w:r>
    <w:r>
      <w:rPr>
        <w:sz w:val="16"/>
        <w:szCs w:val="16"/>
        <w:highlight w:val="yellow"/>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0287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38e8b814255a704fff3610a1222fc25776b2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Environmental Training Arrangements</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