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BUILDING SAFETY DEFECT AND OCCURRENCE REPORTING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r>
        <w:br w:type="page"/>
      </w:r>
    </w:p>
    <w:p>
      <w:pPr>
        <w:spacing w:after="200"/>
      </w:pPr>
      <w:r>
        <w:rPr>
          <w:rFonts w:ascii="Arial" w:cs="Arial" w:eastAsia="Arial" w:hAnsi="Arial"/>
          <w:b/>
          <w:bCs/>
          <w:color w:val="2E4A5C"/>
          <w:sz w:val="28"/>
          <w:szCs w:val="28"/>
        </w:rPr>
        <w:t xml:space="preserve">Contents</w:t>
      </w:r>
    </w:p>
    <w:p>
      <w:pPr>
        <w:spacing w:after="80"/>
      </w:pPr>
      <w:r>
        <w:rPr>
          <w:rFonts w:ascii="Arial" w:cs="Arial" w:eastAsia="Arial" w:hAnsi="Arial"/>
          <w:color w:val="3A3A3A"/>
          <w:sz w:val="21"/>
          <w:szCs w:val="21"/>
        </w:rPr>
        <w:t xml:space="preserve">Section 1: Policy Statement</w:t>
      </w:r>
    </w:p>
    <w:p>
      <w:pPr>
        <w:spacing w:after="80"/>
      </w:pPr>
      <w:r>
        <w:rPr>
          <w:rFonts w:ascii="Arial" w:cs="Arial" w:eastAsia="Arial" w:hAnsi="Arial"/>
          <w:color w:val="3A3A3A"/>
          <w:sz w:val="21"/>
          <w:szCs w:val="21"/>
        </w:rPr>
        <w:t xml:space="preserve">Section 2: Scope</w:t>
      </w:r>
    </w:p>
    <w:p>
      <w:pPr>
        <w:spacing w:after="80"/>
      </w:pPr>
      <w:r>
        <w:rPr>
          <w:rFonts w:ascii="Arial" w:cs="Arial" w:eastAsia="Arial" w:hAnsi="Arial"/>
          <w:color w:val="3A3A3A"/>
          <w:sz w:val="21"/>
          <w:szCs w:val="21"/>
        </w:rPr>
        <w:t xml:space="preserve">Section 3: Responsibilities</w:t>
      </w:r>
    </w:p>
    <w:p>
      <w:pPr>
        <w:spacing w:after="80"/>
      </w:pPr>
      <w:r>
        <w:rPr>
          <w:rFonts w:ascii="Arial" w:cs="Arial" w:eastAsia="Arial" w:hAnsi="Arial"/>
          <w:color w:val="3A3A3A"/>
          <w:sz w:val="21"/>
          <w:szCs w:val="21"/>
        </w:rPr>
        <w:t xml:space="preserve">Section 4: What Must Be Reported</w:t>
      </w:r>
    </w:p>
    <w:p>
      <w:pPr>
        <w:spacing w:after="80"/>
      </w:pPr>
      <w:r>
        <w:rPr>
          <w:rFonts w:ascii="Arial" w:cs="Arial" w:eastAsia="Arial" w:hAnsi="Arial"/>
          <w:color w:val="3A3A3A"/>
          <w:sz w:val="21"/>
          <w:szCs w:val="21"/>
        </w:rPr>
        <w:t xml:space="preserve">Section 5: How We Report</w:t>
      </w:r>
    </w:p>
    <w:p>
      <w:pPr>
        <w:spacing w:after="80"/>
      </w:pPr>
      <w:r>
        <w:rPr>
          <w:rFonts w:ascii="Arial" w:cs="Arial" w:eastAsia="Arial" w:hAnsi="Arial"/>
          <w:color w:val="3A3A3A"/>
          <w:sz w:val="21"/>
          <w:szCs w:val="21"/>
        </w:rPr>
        <w:t xml:space="preserve">Section 6: Higher-Risk Buildings</w:t>
      </w:r>
    </w:p>
    <w:p>
      <w:pPr>
        <w:spacing w:after="80"/>
      </w:pPr>
      <w:r>
        <w:rPr>
          <w:rFonts w:ascii="Arial" w:cs="Arial" w:eastAsia="Arial" w:hAnsi="Arial"/>
          <w:color w:val="3A3A3A"/>
          <w:sz w:val="21"/>
          <w:szCs w:val="21"/>
        </w:rPr>
        <w:t xml:space="preserve">Section 7: Records</w:t>
      </w:r>
    </w:p>
    <w:p>
      <w:pPr>
        <w:spacing w:after="80"/>
      </w:pPr>
      <w:r>
        <w:rPr>
          <w:rFonts w:ascii="Arial" w:cs="Arial" w:eastAsia="Arial" w:hAnsi="Arial"/>
          <w:color w:val="3A3A3A"/>
          <w:sz w:val="21"/>
          <w:szCs w:val="21"/>
        </w:rPr>
        <w:t xml:space="preserve">Section 8: Legislation and Guidance</w:t>
      </w:r>
    </w:p>
    <w:p>
      <w:pPr>
        <w:spacing w:after="80"/>
      </w:pPr>
      <w:r>
        <w:rPr>
          <w:rFonts w:ascii="Arial" w:cs="Arial" w:eastAsia="Arial" w:hAnsi="Arial"/>
          <w:color w:val="3A3A3A"/>
          <w:sz w:val="21"/>
          <w:szCs w:val="21"/>
        </w:rPr>
        <w:t xml:space="preserve">Appendix A: Internal Defect and Safety Occurrence Report</w:t>
      </w:r>
    </w:p>
    <w:p>
      <w:pPr>
        <w:spacing w:after="80"/>
      </w:pPr>
      <w:r>
        <w:rPr>
          <w:rFonts w:ascii="Arial" w:cs="Arial" w:eastAsia="Arial" w:hAnsi="Arial"/>
          <w:color w:val="3A3A3A"/>
          <w:sz w:val="21"/>
          <w:szCs w:val="21"/>
        </w:rPr>
        <w:t xml:space="preserve">Appendix B: Defect and Safety Occurrence Register</w:t>
      </w:r>
    </w:p>
    <w:p>
      <w:pPr>
        <w:spacing w:after="80"/>
      </w:pPr>
      <w:r>
        <w:rPr>
          <w:rFonts w:ascii="Arial" w:cs="Arial" w:eastAsia="Arial" w:hAnsi="Arial"/>
          <w:color w:val="3A3A3A"/>
          <w:sz w:val="21"/>
          <w:szCs w:val="21"/>
        </w:rPr>
        <w:t xml:space="preserve">Approval and Version Control</w:t>
      </w:r>
    </w:p>
    <w:p>
      <w:pPr>
        <w:pStyle w:val="Heading1"/>
        <w:pageBreakBefore/>
        <w:pBdr>
          <w:bottom w:val="single" w:color="9A9A9A" w:sz="4" w:space="4"/>
        </w:pBdr>
        <w:spacing w:after="160" w:before="0"/>
      </w:pPr>
      <w:r>
        <w:rPr>
          <w:rFonts w:ascii="Arial" w:cs="Arial" w:eastAsia="Arial" w:hAnsi="Arial"/>
          <w:b/>
          <w:bCs/>
          <w:color w:val="2E4A5C"/>
          <w:sz w:val="24"/>
          <w:szCs w:val="24"/>
        </w:rPr>
        <w:t xml:space="preserve">SECTION 1: POLICY STATEMENT</w:t>
      </w:r>
    </w:p>
    <w:p>
      <w:pPr>
        <w:spacing w:after="140" w:line="300"/>
      </w:pPr>
      <w:commentRangeStart w:id="1"/>
      <w:r>
        <w:rPr>
          <w:rFonts w:ascii="Arial" w:cs="Arial" w:eastAsia="Arial" w:hAnsi="Arial"/>
          <w:color w:val="3A3A3A"/>
          <w:sz w:val="21"/>
          <w:szCs w:val="21"/>
          <w:highlight w:val="yellow"/>
        </w:rPr>
        <w:t xml:space="preserve">⟦legalName⟧ (⟦short⟧) designs security systems: intruder alarms, CCTV, access control, door entry and the interfaces between these systems and the fire alarm. Some of these systems pass through fire compartments, sit on escape routes or control doors people need to get out through. A design fault, a poor installation or a defective product in any of these can put people at risk.</w:t>
      </w:r>
      <w:commentRangeEnd w:id="1"/>
      <w:r>
        <w:commentReference w:id="1"/>
      </w:r>
    </w:p>
    <w:p>
      <w:pPr>
        <w:spacing w:after="140" w:line="300"/>
      </w:pPr>
      <w:r>
        <w:rPr>
          <w:rFonts w:ascii="Arial" w:cs="Arial" w:eastAsia="Arial" w:hAnsi="Arial"/>
          <w:color w:val="3A3A3A"/>
          <w:sz w:val="21"/>
          <w:szCs w:val="21"/>
        </w:rPr>
        <w:t xml:space="preserve">This policy sets out how ⟦short⟧ spots, records and reports defects, building safety concerns and unsafe products, so that the right person knows quickly and can put it right. It replaces the Mandatory Reporting Policy 2025.</w:t>
      </w:r>
    </w:p>
    <w:p>
      <w:pPr>
        <w:spacing w:after="140" w:line="300"/>
      </w:pPr>
      <w:r>
        <w:rPr>
          <w:rFonts w:ascii="Arial" w:cs="Arial" w:eastAsia="Arial" w:hAnsi="Arial"/>
          <w:color w:val="3A3A3A"/>
          <w:sz w:val="21"/>
          <w:szCs w:val="21"/>
        </w:rPr>
        <w:t xml:space="preserve">It applies to every project, whatever the size of the building. Extra steps apply on higher-risk buildings, as set out in Section 6.</w:t>
      </w:r>
    </w:p>
    <w:p>
      <w:pPr>
        <w:pStyle w:val="Heading1"/>
        <w:pBdr>
          <w:bottom w:val="single" w:color="9A9A9A" w:sz="4" w:space="4"/>
        </w:pBdr>
        <w:spacing w:after="160" w:before="360"/>
      </w:pPr>
      <w:r>
        <w:rPr>
          <w:rFonts w:ascii="Arial" w:cs="Arial" w:eastAsia="Arial" w:hAnsi="Arial"/>
          <w:b/>
          <w:bCs/>
          <w:color w:val="2E4A5C"/>
          <w:sz w:val="24"/>
          <w:szCs w:val="24"/>
        </w:rPr>
        <w:t xml:space="preserve">SECTION 2: SCOPE</w:t>
      </w:r>
    </w:p>
    <w:p>
      <w:pPr>
        <w:spacing w:after="140" w:line="300"/>
      </w:pPr>
      <w:r>
        <w:rPr>
          <w:rFonts w:ascii="Arial" w:cs="Arial" w:eastAsia="Arial" w:hAnsi="Arial"/>
          <w:color w:val="3A3A3A"/>
          <w:sz w:val="21"/>
          <w:szCs w:val="21"/>
        </w:rPr>
        <w:t xml:space="preserve">⟦short⟧ carries out all of its design work itself. It does not use sub-consultants or sub-designers, so every design decision and every report made under this policy comes from ⟦short⟧'s own people.</w:t>
      </w:r>
    </w:p>
    <w:p>
      <w:pPr>
        <w:spacing w:after="140" w:line="300"/>
      </w:pPr>
      <w:r>
        <w:rPr>
          <w:rFonts w:ascii="Arial" w:cs="Arial" w:eastAsia="Arial" w:hAnsi="Arial"/>
          <w:color w:val="3A3A3A"/>
          <w:sz w:val="21"/>
          <w:szCs w:val="21"/>
        </w:rPr>
        <w:t xml:space="preserve">The policy covers:</w:t>
      </w:r>
    </w:p>
    <w:p>
      <w:pPr>
        <w:pStyle w:val="ListParagraph"/>
        <w:numPr>
          <w:ilvl w:val="0"/>
          <w:numId w:val="2"/>
        </w:numPr>
        <w:spacing w:after="80" w:line="290"/>
      </w:pPr>
      <w:r>
        <w:rPr>
          <w:rFonts w:ascii="Arial" w:cs="Arial" w:eastAsia="Arial" w:hAnsi="Arial"/>
          <w:color w:val="3A3A3A"/>
          <w:sz w:val="21"/>
          <w:szCs w:val="21"/>
        </w:rPr>
        <w:t xml:space="preserve">defects or errors in ⟦short⟧'s own designs, found by us or reported to us by others</w:t>
      </w:r>
    </w:p>
    <w:p>
      <w:pPr>
        <w:pStyle w:val="ListParagraph"/>
        <w:numPr>
          <w:ilvl w:val="0"/>
          <w:numId w:val="2"/>
        </w:numPr>
        <w:spacing w:after="80" w:line="290"/>
      </w:pPr>
      <w:commentRangeStart w:id="2"/>
      <w:r>
        <w:rPr>
          <w:rFonts w:ascii="Arial" w:cs="Arial" w:eastAsia="Arial" w:hAnsi="Arial"/>
          <w:color w:val="3A3A3A"/>
          <w:sz w:val="21"/>
          <w:szCs w:val="21"/>
          <w:highlight w:val="yellow"/>
        </w:rPr>
        <w:t xml:space="preserve">defects in work carried out by others that we see during a site survey, design review or handover inspection</w:t>
      </w:r>
      <w:commentRangeEnd w:id="2"/>
      <w:r>
        <w:commentReference w:id="2"/>
      </w:r>
    </w:p>
    <w:p>
      <w:pPr>
        <w:pStyle w:val="ListParagraph"/>
        <w:numPr>
          <w:ilvl w:val="0"/>
          <w:numId w:val="2"/>
        </w:numPr>
        <w:spacing w:after="80" w:line="290"/>
      </w:pPr>
      <w:r>
        <w:rPr>
          <w:rFonts w:ascii="Arial" w:cs="Arial" w:eastAsia="Arial" w:hAnsi="Arial"/>
          <w:color w:val="3A3A3A"/>
          <w:sz w:val="21"/>
          <w:szCs w:val="21"/>
        </w:rPr>
        <w:t xml:space="preserve">construction products, including security products, that are unsafe, do not perform as claimed or do not meet their declared standard</w:t>
      </w:r>
    </w:p>
    <w:p>
      <w:pPr>
        <w:pStyle w:val="ListParagraph"/>
        <w:numPr>
          <w:ilvl w:val="0"/>
          <w:numId w:val="2"/>
        </w:numPr>
        <w:spacing w:after="80" w:line="290"/>
      </w:pPr>
      <w:r>
        <w:rPr>
          <w:rFonts w:ascii="Arial" w:cs="Arial" w:eastAsia="Arial" w:hAnsi="Arial"/>
          <w:color w:val="3A3A3A"/>
          <w:sz w:val="21"/>
          <w:szCs w:val="21"/>
        </w:rPr>
        <w:t xml:space="preserve">anything else we see on site that could put people's safety at risk, even where it is outside our scope</w:t>
      </w:r>
    </w:p>
    <w:p>
      <w:pPr>
        <w:pStyle w:val="Heading1"/>
        <w:pBdr>
          <w:bottom w:val="single" w:color="9A9A9A" w:sz="4" w:space="4"/>
        </w:pBdr>
        <w:spacing w:after="160" w:before="360"/>
      </w:pPr>
      <w:r>
        <w:rPr>
          <w:rFonts w:ascii="Arial" w:cs="Arial" w:eastAsia="Arial" w:hAnsi="Arial"/>
          <w:b/>
          <w:bCs/>
          <w:color w:val="2E4A5C"/>
          <w:sz w:val="24"/>
          <w:szCs w:val="24"/>
        </w:rPr>
        <w:t xml:space="preserve">SECTION 3: RESPONSIBILITIES</w:t>
      </w:r>
    </w:p>
    <w:p>
      <w:pPr>
        <w:pStyle w:val="ListParagraph"/>
        <w:numPr>
          <w:ilvl w:val="0"/>
          <w:numId w:val="2"/>
        </w:numPr>
        <w:spacing w:after="80" w:line="290"/>
      </w:pPr>
      <w:r>
        <w:rPr>
          <w:rFonts w:ascii="Arial" w:cs="Arial" w:eastAsia="Arial" w:hAnsi="Arial"/>
          <w:b/>
          <w:bCs/>
          <w:color w:val="3A3A3A"/>
          <w:sz w:val="21"/>
          <w:szCs w:val="21"/>
        </w:rPr>
        <w:t xml:space="preserve">Managing Director (⟦hsLead⟧):</w:t>
      </w:r>
      <w:r>
        <w:rPr>
          <w:rFonts w:ascii="Arial" w:cs="Arial" w:eastAsia="Arial" w:hAnsi="Arial"/>
          <w:color w:val="3A3A3A"/>
          <w:sz w:val="21"/>
          <w:szCs w:val="21"/>
        </w:rPr>
        <w:t xml:space="preserve"> owns this policy, decides who a report goes to, makes the external reports in Section 5, keeps the Defect and Safety Occurrence Register and reviews it every year.</w:t>
      </w:r>
    </w:p>
    <w:p>
      <w:pPr>
        <w:pStyle w:val="ListParagraph"/>
        <w:numPr>
          <w:ilvl w:val="0"/>
          <w:numId w:val="2"/>
        </w:numPr>
        <w:spacing w:after="80" w:line="290"/>
      </w:pPr>
      <w:r>
        <w:rPr>
          <w:rFonts w:ascii="Arial" w:cs="Arial" w:eastAsia="Arial" w:hAnsi="Arial"/>
          <w:b/>
          <w:bCs/>
          <w:color w:val="3A3A3A"/>
          <w:sz w:val="21"/>
          <w:szCs w:val="21"/>
        </w:rPr>
        <w:t xml:space="preserve">Everyone who works for ⟦short⟧:</w:t>
      </w:r>
      <w:r>
        <w:rPr>
          <w:rFonts w:ascii="Arial" w:cs="Arial" w:eastAsia="Arial" w:hAnsi="Arial"/>
          <w:color w:val="3A3A3A"/>
          <w:sz w:val="21"/>
          <w:szCs w:val="21"/>
        </w:rPr>
        <w:t xml:space="preserve"> reports any concern to the Managing Director on the same day, and in any case within 24 hours. You do not have to be sure it is a defect. If in doubt, report it.</w:t>
      </w:r>
    </w:p>
    <w:p>
      <w:pPr>
        <w:pStyle w:val="ListParagraph"/>
        <w:numPr>
          <w:ilvl w:val="0"/>
          <w:numId w:val="2"/>
        </w:numPr>
        <w:spacing w:after="80" w:line="290"/>
      </w:pPr>
      <w:r>
        <w:rPr>
          <w:rFonts w:ascii="Arial" w:cs="Arial" w:eastAsia="Arial" w:hAnsi="Arial"/>
          <w:b/>
          <w:bCs/>
          <w:color w:val="3A3A3A"/>
          <w:sz w:val="21"/>
          <w:szCs w:val="21"/>
        </w:rPr>
        <w:t xml:space="preserve">Specialist health and safety adviser (Simon Archer, Archer Health &amp; Safety):</w:t>
      </w:r>
      <w:r>
        <w:rPr>
          <w:rFonts w:ascii="Arial" w:cs="Arial" w:eastAsia="Arial" w:hAnsi="Arial"/>
          <w:color w:val="3A3A3A"/>
          <w:sz w:val="21"/>
          <w:szCs w:val="21"/>
        </w:rPr>
        <w:t xml:space="preserve"> advises the Managing Director on whether a matter needs reporting externally and to whom.</w:t>
      </w:r>
    </w:p>
    <w:p>
      <w:pPr>
        <w:spacing w:after="140" w:line="300"/>
      </w:pPr>
      <w:r>
        <w:rPr>
          <w:rFonts w:ascii="Arial" w:cs="Arial" w:eastAsia="Arial" w:hAnsi="Arial"/>
          <w:color w:val="3A3A3A"/>
          <w:sz w:val="21"/>
          <w:szCs w:val="21"/>
        </w:rPr>
        <w:t xml:space="preserve">The Managing Director can report any serious concern directly to the client, the principal designer, the principal contractor, the Building Safety Regulator or the Office for Product Safety and Standards at any time. Nobody at ⟦short⟧ needs permission from a client or contractor to report a genuine safety concern, and nobody will suffer any detriment for reporting one.</w:t>
      </w:r>
    </w:p>
    <w:p>
      <w:pPr>
        <w:pStyle w:val="Heading1"/>
        <w:pBdr>
          <w:bottom w:val="single" w:color="9A9A9A" w:sz="4" w:space="4"/>
        </w:pBdr>
        <w:spacing w:after="160" w:before="360"/>
      </w:pPr>
      <w:r>
        <w:rPr>
          <w:rFonts w:ascii="Arial" w:cs="Arial" w:eastAsia="Arial" w:hAnsi="Arial"/>
          <w:b/>
          <w:bCs/>
          <w:color w:val="2E4A5C"/>
          <w:sz w:val="24"/>
          <w:szCs w:val="24"/>
        </w:rPr>
        <w:t xml:space="preserve">SECTION 4: WHAT MUST BE REPORTED</w:t>
      </w:r>
    </w:p>
    <w:p>
      <w:pPr>
        <w:spacing w:after="140" w:line="300"/>
      </w:pPr>
      <w:r>
        <w:rPr>
          <w:rFonts w:ascii="Arial" w:cs="Arial" w:eastAsia="Arial" w:hAnsi="Arial"/>
          <w:color w:val="3A3A3A"/>
          <w:sz w:val="21"/>
          <w:szCs w:val="21"/>
        </w:rPr>
        <w:t xml:space="preserve">These are the matters most likely to arise on ⟦short⟧'s work. The list is not exhaustive.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Area</w:t>
            </w:r>
          </w:p>
        </w:tc>
        <w:tc>
          <w:tcPr>
            <w:tcW w:type="dxa" w:w="609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Examples</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Fire-stopping and compartmentation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3"/>
            <w:r>
              <w:rPr>
                <w:rFonts w:ascii="Arial" w:cs="Arial" w:eastAsia="Arial" w:hAnsi="Arial"/>
                <w:color w:val="3A3A3A"/>
                <w:sz w:val="21"/>
                <w:szCs w:val="21"/>
                <w:highlight w:val="yellow"/>
              </w:rPr>
              <w:t xml:space="preserve">Cable routes for CCTV, alarm or access control passing through fire walls or floors without suitable fire-stopping. Fire-stopping removed and not reinstated.</w:t>
            </w:r>
            <w:commentRangeEnd w:id="3"/>
            <w:r>
              <w:commentReference w:id="3"/>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Escape routes and doors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4"/>
            <w:r>
              <w:rPr>
                <w:rFonts w:ascii="Arial" w:cs="Arial" w:eastAsia="Arial" w:hAnsi="Arial"/>
                <w:color w:val="3A3A3A"/>
                <w:sz w:val="21"/>
                <w:szCs w:val="21"/>
                <w:highlight w:val="yellow"/>
              </w:rPr>
              <w:t xml:space="preserve">Electric locks, maglocks or locked doors on an escape route that do not release on fire alarm activation or power failure. Missing or faulty break glass units. Door hold-open devices that do not release.</w:t>
            </w:r>
            <w:commentRangeEnd w:id="4"/>
            <w:r>
              <w:commentReference w:id="4"/>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 detection and alarm</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5"/>
            <w:r>
              <w:rPr>
                <w:rFonts w:ascii="Arial" w:cs="Arial" w:eastAsia="Arial" w:hAnsi="Arial"/>
                <w:color w:val="3A3A3A"/>
                <w:sz w:val="21"/>
                <w:szCs w:val="21"/>
                <w:highlight w:val="yellow"/>
              </w:rPr>
              <w:t xml:space="preserve">Security equipment fixed to or near detectors that could stop them working. Damage to, or interference with, the fire alarm system or its interfaces.</w:t>
            </w:r>
            <w:commentRangeEnd w:id="5"/>
            <w:r>
              <w:commentReference w:id="5"/>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Smoke control and fire doors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Fire doors damaged, wedged open or altered to fit hardware, so they no longer close and seal properly.</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Products</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Products that fail, are counterfeit, are not certified to the standard claimed, or are supplied with missing or incorrect safety information.</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Design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An error in an ⟦short⟧ drawing, specification or calculation that could affect safety or compliance with the Building Regulations.</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Other</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Any other matter that could cause serious injury or death if left unchecked.</w:t>
            </w: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SECTION 5: HOW WE REPORT</w:t>
      </w:r>
    </w:p>
    <w:p>
      <w:pPr>
        <w:pStyle w:val="Heading2"/>
        <w:keepNext/>
        <w:spacing w:after="100" w:before="220"/>
      </w:pPr>
      <w:r>
        <w:rPr>
          <w:rFonts w:ascii="Arial" w:cs="Arial" w:eastAsia="Arial" w:hAnsi="Arial"/>
          <w:b/>
          <w:bCs/>
          <w:color w:val="2E4A5C"/>
          <w:sz w:val="22"/>
          <w:szCs w:val="22"/>
        </w:rPr>
        <w:t xml:space="preserve">Step 1: Make it safe and record it</w:t>
      </w:r>
    </w:p>
    <w:p>
      <w:pPr>
        <w:pStyle w:val="ListParagraph"/>
        <w:numPr>
          <w:ilvl w:val="0"/>
          <w:numId w:val="2"/>
        </w:numPr>
        <w:spacing w:after="80" w:line="290"/>
      </w:pPr>
      <w:r>
        <w:rPr>
          <w:rFonts w:ascii="Arial" w:cs="Arial" w:eastAsia="Arial" w:hAnsi="Arial"/>
          <w:color w:val="3A3A3A"/>
          <w:sz w:val="21"/>
          <w:szCs w:val="21"/>
        </w:rPr>
        <w:t xml:space="preserve">If there is immediate danger, tell the person in control of the site or building straight away, before you leave.</w:t>
      </w:r>
    </w:p>
    <w:p>
      <w:pPr>
        <w:pStyle w:val="ListParagraph"/>
        <w:numPr>
          <w:ilvl w:val="0"/>
          <w:numId w:val="2"/>
        </w:numPr>
        <w:spacing w:after="80" w:line="290"/>
      </w:pPr>
      <w:r>
        <w:rPr>
          <w:rFonts w:ascii="Arial" w:cs="Arial" w:eastAsia="Arial" w:hAnsi="Arial"/>
          <w:color w:val="3A3A3A"/>
          <w:sz w:val="21"/>
          <w:szCs w:val="21"/>
        </w:rPr>
        <w:t xml:space="preserve">Take photographs where it is safe and permitted to do so, and note the location, date and time.</w:t>
      </w:r>
    </w:p>
    <w:p>
      <w:pPr>
        <w:pStyle w:val="ListParagraph"/>
        <w:numPr>
          <w:ilvl w:val="0"/>
          <w:numId w:val="2"/>
        </w:numPr>
        <w:spacing w:after="80" w:line="290"/>
      </w:pPr>
      <w:r>
        <w:rPr>
          <w:rFonts w:ascii="Arial" w:cs="Arial" w:eastAsia="Arial" w:hAnsi="Arial"/>
          <w:color w:val="3A3A3A"/>
          <w:sz w:val="21"/>
          <w:szCs w:val="21"/>
        </w:rPr>
        <w:t xml:space="preserve">Tell the Managing Director the same day, and in any case within 24 hours, using the internal report form at Appendix A.</w:t>
      </w:r>
    </w:p>
    <w:p>
      <w:pPr>
        <w:pStyle w:val="Heading2"/>
        <w:keepNext/>
        <w:spacing w:after="100" w:before="220"/>
      </w:pPr>
      <w:r>
        <w:rPr>
          <w:rFonts w:ascii="Arial" w:cs="Arial" w:eastAsia="Arial" w:hAnsi="Arial"/>
          <w:b/>
          <w:bCs/>
          <w:color w:val="2E4A5C"/>
          <w:sz w:val="22"/>
          <w:szCs w:val="22"/>
        </w:rPr>
        <w:t xml:space="preserve">Step 2: Decide who needs to know</w:t>
      </w:r>
    </w:p>
    <w:p>
      <w:pPr>
        <w:spacing w:after="140" w:line="300"/>
      </w:pPr>
      <w:r>
        <w:rPr>
          <w:rFonts w:ascii="Arial" w:cs="Arial" w:eastAsia="Arial" w:hAnsi="Arial"/>
          <w:color w:val="3A3A3A"/>
          <w:sz w:val="21"/>
          <w:szCs w:val="21"/>
        </w:rPr>
        <w:t xml:space="preserve">The Managing Director logs the matter in the Defect and Safety Occurrence Register and decides, with advice where needed, who must be told. The table below is the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Who</w:t>
            </w:r>
          </w:p>
        </w:tc>
        <w:tc>
          <w:tcPr>
            <w:tcW w:type="dxa" w:w="5641"/>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When we tell them</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The client</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Always, for anything affecting their building or project. We explain the issue in plain language, what it means for them and what they need to do.</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Principal designer or principal contractor</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Whenever there is one appointed under CDM 2015 or Part 2A of the Building Regulations, so they can coordinate the fix.</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Other designers</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Where the problem affects or comes from their part of the design.</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The manufacturer or supplier</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Whenever a product fails, appears unsafe or does not match its declared performance. We give them the product details, batch or serial numbers, and what we found.</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Accountable person</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Where the building is an occupied higher-risk building and the issue affects fire or structural safety. We report to the accountable person, or the principal accountable person, so they can deal with it through their mandatory occurrence reporting system.</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Building Safety Regulator</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On a higher-risk building, through the principal designer or principal contractor as set out in Section 6. Where they do not act, the Managing Director reports direct.</w:t>
            </w:r>
          </w:p>
        </w:tc>
      </w:tr>
      <w:tr>
        <w:trPr>
          <w:tblHeader w:val="false"/>
        </w:trPr>
        <w:tc>
          <w:tcPr>
            <w:tcW w:type="dxa" w:w="338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Office for Product Safety and Standards</w:t>
            </w:r>
          </w:p>
        </w:tc>
        <w:tc>
          <w:tcPr>
            <w:tcW w:type="dxa" w:w="5641"/>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Where a construction product appears unsafe and the manufacturer does not act, or the concern is serious enough to affect other buildings.</w:t>
            </w:r>
          </w:p>
        </w:tc>
      </w:tr>
    </w:tbl>
    <w:p>
      <w:pPr>
        <w:spacing w:after="120"/>
      </w:pPr>
    </w:p>
    <w:p>
      <w:pPr>
        <w:pStyle w:val="Heading2"/>
        <w:keepNext/>
        <w:spacing w:after="100" w:before="220"/>
      </w:pPr>
      <w:r>
        <w:rPr>
          <w:rFonts w:ascii="Arial" w:cs="Arial" w:eastAsia="Arial" w:hAnsi="Arial"/>
          <w:b/>
          <w:bCs/>
          <w:color w:val="2E4A5C"/>
          <w:sz w:val="22"/>
          <w:szCs w:val="22"/>
        </w:rPr>
        <w:t xml:space="preserve">Step 3: Put it right and close it out</w:t>
      </w:r>
    </w:p>
    <w:p>
      <w:pPr>
        <w:pStyle w:val="ListParagraph"/>
        <w:numPr>
          <w:ilvl w:val="0"/>
          <w:numId w:val="2"/>
        </w:numPr>
        <w:spacing w:after="80" w:line="290"/>
      </w:pPr>
      <w:r>
        <w:rPr>
          <w:rFonts w:ascii="Arial" w:cs="Arial" w:eastAsia="Arial" w:hAnsi="Arial"/>
          <w:color w:val="3A3A3A"/>
          <w:sz w:val="21"/>
          <w:szCs w:val="21"/>
        </w:rPr>
        <w:t xml:space="preserve">Where the defect is in ⟦short⟧'s design, we correct the design, issue the revised drawings or specification with the change clearly marked, and tell everyone who received the original.</w:t>
      </w:r>
    </w:p>
    <w:p>
      <w:pPr>
        <w:pStyle w:val="ListParagraph"/>
        <w:numPr>
          <w:ilvl w:val="0"/>
          <w:numId w:val="2"/>
        </w:numPr>
        <w:spacing w:after="80" w:line="290"/>
      </w:pPr>
      <w:r>
        <w:rPr>
          <w:rFonts w:ascii="Arial" w:cs="Arial" w:eastAsia="Arial" w:hAnsi="Arial"/>
          <w:color w:val="3A3A3A"/>
          <w:sz w:val="21"/>
          <w:szCs w:val="21"/>
        </w:rPr>
        <w:t xml:space="preserve">Where the defect is in someone else's work, we confirm our report in writing and ask to be told when it has been resolved.</w:t>
      </w:r>
    </w:p>
    <w:p>
      <w:pPr>
        <w:pStyle w:val="ListParagraph"/>
        <w:numPr>
          <w:ilvl w:val="0"/>
          <w:numId w:val="2"/>
        </w:numPr>
        <w:spacing w:after="80" w:line="290"/>
      </w:pPr>
      <w:r>
        <w:rPr>
          <w:rFonts w:ascii="Arial" w:cs="Arial" w:eastAsia="Arial" w:hAnsi="Arial"/>
          <w:color w:val="3A3A3A"/>
          <w:sz w:val="21"/>
          <w:szCs w:val="21"/>
        </w:rPr>
        <w:t xml:space="preserve">The register entry is closed only when the Managing Director is satisfied the matter has been dealt with or passed to the person responsible.</w:t>
      </w:r>
    </w:p>
    <w:p>
      <w:pPr>
        <w:pStyle w:val="Heading1"/>
        <w:pBdr>
          <w:bottom w:val="single" w:color="9A9A9A" w:sz="4" w:space="4"/>
        </w:pBdr>
        <w:spacing w:after="160" w:before="360"/>
      </w:pPr>
      <w:r>
        <w:rPr>
          <w:rFonts w:ascii="Arial" w:cs="Arial" w:eastAsia="Arial" w:hAnsi="Arial"/>
          <w:b/>
          <w:bCs/>
          <w:color w:val="2E4A5C"/>
          <w:sz w:val="24"/>
          <w:szCs w:val="24"/>
        </w:rPr>
        <w:t xml:space="preserve">SECTION 6: HIGHER-RISK BUILDINGS</w:t>
      </w:r>
    </w:p>
    <w:p>
      <w:pPr>
        <w:spacing w:after="140" w:line="300"/>
      </w:pPr>
      <w:r>
        <w:rPr>
          <w:rFonts w:ascii="Arial" w:cs="Arial" w:eastAsia="Arial" w:hAnsi="Arial"/>
          <w:color w:val="3A3A3A"/>
          <w:sz w:val="21"/>
          <w:szCs w:val="21"/>
        </w:rPr>
        <w:t xml:space="preserve">A higher-risk building is a building in England at least 18 metres high or with at least 7 storeys that contains at least 2 residential units, or is a hospital or care home. On these buildings:</w:t>
      </w:r>
    </w:p>
    <w:p>
      <w:pPr>
        <w:pStyle w:val="ListParagraph"/>
        <w:numPr>
          <w:ilvl w:val="0"/>
          <w:numId w:val="2"/>
        </w:numPr>
        <w:spacing w:after="80" w:line="290"/>
      </w:pPr>
      <w:r>
        <w:rPr>
          <w:rFonts w:ascii="Arial" w:cs="Arial" w:eastAsia="Arial" w:hAnsi="Arial"/>
          <w:b/>
          <w:bCs/>
          <w:color w:val="3A3A3A"/>
          <w:sz w:val="21"/>
          <w:szCs w:val="21"/>
        </w:rPr>
        <w:t xml:space="preserve">During design and construction:</w:t>
      </w:r>
      <w:r>
        <w:rPr>
          <w:rFonts w:ascii="Arial" w:cs="Arial" w:eastAsia="Arial" w:hAnsi="Arial"/>
          <w:color w:val="3A3A3A"/>
          <w:sz w:val="21"/>
          <w:szCs w:val="21"/>
        </w:rPr>
        <w:t xml:space="preserve"> the principal designer and principal contractor must run a mandatory occurrence reporting system and report safety occurrences to the Building Safety Regulator, under the Building (Higher-Risk Buildings Procedures) (England) Regulations 2023. ⟦short⟧ reports any occurrence to them immediately, and in any case within 24 hours, so they can meet their deadlines.</w:t>
      </w:r>
    </w:p>
    <w:p>
      <w:pPr>
        <w:pStyle w:val="ListParagraph"/>
        <w:numPr>
          <w:ilvl w:val="0"/>
          <w:numId w:val="2"/>
        </w:numPr>
        <w:spacing w:after="80" w:line="290"/>
      </w:pPr>
      <w:r>
        <w:rPr>
          <w:rFonts w:ascii="Arial" w:cs="Arial" w:eastAsia="Arial" w:hAnsi="Arial"/>
          <w:b/>
          <w:bCs/>
          <w:color w:val="3A3A3A"/>
          <w:sz w:val="21"/>
          <w:szCs w:val="21"/>
        </w:rPr>
        <w:t xml:space="preserve">Once occupied:</w:t>
      </w:r>
      <w:r>
        <w:rPr>
          <w:rFonts w:ascii="Arial" w:cs="Arial" w:eastAsia="Arial" w:hAnsi="Arial"/>
          <w:color w:val="3A3A3A"/>
          <w:sz w:val="21"/>
          <w:szCs w:val="21"/>
        </w:rPr>
        <w:t xml:space="preserve"> the accountable person must run a mandatory occurrence reporting system under section 87 of the Building Safety Act 2022. ⟦short⟧ reports any concern about fire or structural safety to the accountable person.</w:t>
      </w:r>
    </w:p>
    <w:p>
      <w:pPr>
        <w:pStyle w:val="ListParagraph"/>
        <w:numPr>
          <w:ilvl w:val="0"/>
          <w:numId w:val="2"/>
        </w:numPr>
        <w:spacing w:after="80" w:line="290"/>
      </w:pPr>
      <w:r>
        <w:rPr>
          <w:rFonts w:ascii="Arial" w:cs="Arial" w:eastAsia="Arial" w:hAnsi="Arial"/>
          <w:b/>
          <w:bCs/>
          <w:color w:val="3A3A3A"/>
          <w:sz w:val="21"/>
          <w:szCs w:val="21"/>
        </w:rPr>
        <w:t xml:space="preserve">Golden thread:</w:t>
      </w:r>
      <w:r>
        <w:rPr>
          <w:rFonts w:ascii="Arial" w:cs="Arial" w:eastAsia="Arial" w:hAnsi="Arial"/>
          <w:color w:val="3A3A3A"/>
          <w:sz w:val="21"/>
          <w:szCs w:val="21"/>
        </w:rPr>
        <w:t xml:space="preserve"> our design information, change records and defect reports are provided in a form that can be added to the building's golden thread of information.</w:t>
      </w:r>
    </w:p>
    <w:p>
      <w:pPr>
        <w:pStyle w:val="ListParagraph"/>
        <w:numPr>
          <w:ilvl w:val="0"/>
          <w:numId w:val="2"/>
        </w:numPr>
        <w:spacing w:after="80" w:line="290"/>
      </w:pPr>
      <w:r>
        <w:rPr>
          <w:rFonts w:ascii="Arial" w:cs="Arial" w:eastAsia="Arial" w:hAnsi="Arial"/>
          <w:b/>
          <w:bCs/>
          <w:color w:val="3A3A3A"/>
          <w:sz w:val="21"/>
          <w:szCs w:val="21"/>
        </w:rPr>
        <w:t xml:space="preserve">Design changes:</w:t>
      </w:r>
      <w:r>
        <w:rPr>
          <w:rFonts w:ascii="Arial" w:cs="Arial" w:eastAsia="Arial" w:hAnsi="Arial"/>
          <w:color w:val="3A3A3A"/>
          <w:sz w:val="21"/>
          <w:szCs w:val="21"/>
        </w:rPr>
        <w:t xml:space="preserve"> we do not make any change to our design during construction without telling the principal designer, because changes on a higher-risk building may need approval from the Building Safety Regulator before work goes ahead.</w:t>
      </w:r>
    </w:p>
    <w:p>
      <w:pPr>
        <w:spacing w:after="140" w:line="300"/>
      </w:pPr>
      <w:r>
        <w:rPr>
          <w:rFonts w:ascii="Arial" w:cs="Arial" w:eastAsia="Arial" w:hAnsi="Arial"/>
          <w:color w:val="3A3A3A"/>
          <w:sz w:val="21"/>
          <w:szCs w:val="21"/>
          <w:highlight w:val="yellow"/>
          <w:highlightCs w:val="yellow"/>
        </w:rPr>
        <w:t xml:space="preserve">Confirm whether ⟦short⟧ has worked on, or is working on, any higher-risk buildings. If none, keep this section: it shows the arrangements are in place if needed.</w:t>
      </w:r>
    </w:p>
    <w:p>
      <w:pPr>
        <w:pStyle w:val="Heading1"/>
        <w:pBdr>
          <w:bottom w:val="single" w:color="9A9A9A" w:sz="4" w:space="4"/>
        </w:pBdr>
        <w:spacing w:after="160" w:before="360"/>
      </w:pPr>
      <w:r>
        <w:rPr>
          <w:rFonts w:ascii="Arial" w:cs="Arial" w:eastAsia="Arial" w:hAnsi="Arial"/>
          <w:b/>
          <w:bCs/>
          <w:color w:val="2E4A5C"/>
          <w:sz w:val="24"/>
          <w:szCs w:val="24"/>
        </w:rPr>
        <w:t xml:space="preserve">SECTION 7: RECORDS</w:t>
      </w:r>
    </w:p>
    <w:p>
      <w:pPr>
        <w:spacing w:after="140" w:line="300"/>
      </w:pPr>
      <w:r>
        <w:rPr>
          <w:rFonts w:ascii="Arial" w:cs="Arial" w:eastAsia="Arial" w:hAnsi="Arial"/>
          <w:color w:val="3A3A3A"/>
          <w:sz w:val="21"/>
          <w:szCs w:val="21"/>
        </w:rPr>
        <w:t xml:space="preserve">The Defect and Safety Occurrence Register records every concern raised, who it was reported to and when, the response and the close-out. Reports and the register are kept for 15 years from the end of the project, in line with our Information Management Policy, because of the extended liability periods under the Defective Premises Act 1972 and section 135 of the Building Safety Act 2022.</w:t>
      </w:r>
    </w:p>
    <w:p>
      <w:pPr>
        <w:spacing w:after="140" w:line="300"/>
      </w:pPr>
      <w:r>
        <w:rPr>
          <w:rFonts w:ascii="Arial" w:cs="Arial" w:eastAsia="Arial" w:hAnsi="Arial"/>
          <w:color w:val="3A3A3A"/>
          <w:sz w:val="21"/>
          <w:szCs w:val="21"/>
        </w:rPr>
        <w:t xml:space="preserve">The Managing Director reviews the register every year, looks for repeat issues and records any lessons in the design procedure. Nil returns are recorded too.</w:t>
      </w:r>
    </w:p>
    <w:p>
      <w:pPr>
        <w:pStyle w:val="Heading1"/>
        <w:pBdr>
          <w:bottom w:val="single" w:color="9A9A9A" w:sz="4" w:space="4"/>
        </w:pBdr>
        <w:spacing w:after="160" w:before="360"/>
      </w:pPr>
      <w:r>
        <w:rPr>
          <w:rFonts w:ascii="Arial" w:cs="Arial" w:eastAsia="Arial" w:hAnsi="Arial"/>
          <w:b/>
          <w:bCs/>
          <w:color w:val="2E4A5C"/>
          <w:sz w:val="24"/>
          <w:szCs w:val="24"/>
        </w:rPr>
        <w:t xml:space="preserve">SECTION 8: LEGISLATION AND GUIDANCE</w:t>
      </w:r>
    </w:p>
    <w:p>
      <w:pPr>
        <w:pStyle w:val="ListParagraph"/>
        <w:numPr>
          <w:ilvl w:val="0"/>
          <w:numId w:val="2"/>
        </w:numPr>
        <w:spacing w:after="80" w:line="290"/>
      </w:pPr>
      <w:r>
        <w:rPr>
          <w:rFonts w:ascii="Arial" w:cs="Arial" w:eastAsia="Arial" w:hAnsi="Arial"/>
          <w:color w:val="3A3A3A"/>
          <w:sz w:val="21"/>
          <w:szCs w:val="21"/>
        </w:rPr>
        <w:t xml:space="preserve">Building Safety Act 2022</w:t>
      </w:r>
    </w:p>
    <w:p>
      <w:pPr>
        <w:pStyle w:val="ListParagraph"/>
        <w:numPr>
          <w:ilvl w:val="0"/>
          <w:numId w:val="2"/>
        </w:numPr>
        <w:spacing w:after="80" w:line="290"/>
      </w:pPr>
      <w:r>
        <w:rPr>
          <w:rFonts w:ascii="Arial" w:cs="Arial" w:eastAsia="Arial" w:hAnsi="Arial"/>
          <w:color w:val="3A3A3A"/>
          <w:sz w:val="21"/>
          <w:szCs w:val="21"/>
        </w:rPr>
        <w:t xml:space="preserve">The Building Regulations 2010, Part 2A (dutyholders and competence)</w:t>
      </w:r>
    </w:p>
    <w:p>
      <w:pPr>
        <w:pStyle w:val="ListParagraph"/>
        <w:numPr>
          <w:ilvl w:val="0"/>
          <w:numId w:val="2"/>
        </w:numPr>
        <w:spacing w:after="80" w:line="290"/>
      </w:pPr>
      <w:r>
        <w:rPr>
          <w:rFonts w:ascii="Arial" w:cs="Arial" w:eastAsia="Arial" w:hAnsi="Arial"/>
          <w:color w:val="3A3A3A"/>
          <w:sz w:val="21"/>
          <w:szCs w:val="21"/>
        </w:rPr>
        <w:t xml:space="preserve">The Building (Higher-Risk Buildings Procedures) (England) Regulations 2023</w:t>
      </w:r>
    </w:p>
    <w:p>
      <w:pPr>
        <w:pStyle w:val="ListParagraph"/>
        <w:numPr>
          <w:ilvl w:val="0"/>
          <w:numId w:val="2"/>
        </w:numPr>
        <w:spacing w:after="80" w:line="290"/>
      </w:pPr>
      <w:r>
        <w:rPr>
          <w:rFonts w:ascii="Arial" w:cs="Arial" w:eastAsia="Arial" w:hAnsi="Arial"/>
          <w:color w:val="3A3A3A"/>
          <w:sz w:val="21"/>
          <w:szCs w:val="21"/>
        </w:rPr>
        <w:t xml:space="preserve">The Construction (Design and Management) Regulations 2015</w:t>
      </w:r>
    </w:p>
    <w:p>
      <w:pPr>
        <w:pStyle w:val="ListParagraph"/>
        <w:numPr>
          <w:ilvl w:val="0"/>
          <w:numId w:val="2"/>
        </w:numPr>
        <w:spacing w:after="80" w:line="290"/>
      </w:pPr>
      <w:r>
        <w:rPr>
          <w:rFonts w:ascii="Arial" w:cs="Arial" w:eastAsia="Arial" w:hAnsi="Arial"/>
          <w:color w:val="3A3A3A"/>
          <w:sz w:val="21"/>
          <w:szCs w:val="21"/>
        </w:rPr>
        <w:t xml:space="preserve">The Regulatory Reform (Fire Safety) Order 2005</w:t>
      </w:r>
    </w:p>
    <w:p>
      <w:pPr>
        <w:pStyle w:val="ListParagraph"/>
        <w:numPr>
          <w:ilvl w:val="0"/>
          <w:numId w:val="2"/>
        </w:numPr>
        <w:spacing w:after="80" w:line="290"/>
      </w:pPr>
      <w:r>
        <w:rPr>
          <w:rFonts w:ascii="Arial" w:cs="Arial" w:eastAsia="Arial" w:hAnsi="Arial"/>
          <w:color w:val="3A3A3A"/>
          <w:sz w:val="21"/>
          <w:szCs w:val="21"/>
        </w:rPr>
        <w:t xml:space="preserve">The Construction Products Regulations 2013 and the General Product Safety Regulations 2005</w:t>
      </w:r>
    </w:p>
    <w:p>
      <w:pPr>
        <w:pStyle w:val="ListParagraph"/>
        <w:numPr>
          <w:ilvl w:val="0"/>
          <w:numId w:val="2"/>
        </w:numPr>
        <w:spacing w:after="80" w:line="290"/>
      </w:pPr>
      <w:r>
        <w:rPr>
          <w:rFonts w:ascii="Arial" w:cs="Arial" w:eastAsia="Arial" w:hAnsi="Arial"/>
          <w:color w:val="3A3A3A"/>
          <w:sz w:val="21"/>
          <w:szCs w:val="21"/>
        </w:rPr>
        <w:t xml:space="preserve">Defective Premises Act 1972</w:t>
      </w:r>
    </w:p>
    <w:p>
      <w:pPr>
        <w:pStyle w:val="ListParagraph"/>
        <w:numPr>
          <w:ilvl w:val="0"/>
          <w:numId w:val="2"/>
        </w:numPr>
        <w:spacing w:after="80" w:line="290"/>
      </w:pPr>
      <w:commentRangeStart w:id="6"/>
      <w:r>
        <w:rPr>
          <w:rFonts w:ascii="Arial" w:cs="Arial" w:eastAsia="Arial" w:hAnsi="Arial"/>
          <w:color w:val="3A3A3A"/>
          <w:sz w:val="21"/>
          <w:szCs w:val="21"/>
          <w:highlight w:val="yellow"/>
        </w:rPr>
        <w:t xml:space="preserve">BS 7273 (operation of fire protection measures) and BS 9999 (fire safety in the design of buildings)</w:t>
      </w:r>
      <w:commentRangeEnd w:id="6"/>
      <w:r>
        <w:commentReference w:id="6"/>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APPENDIX A: INTERNAL DEFECT AND SAFETY OCCURRENCE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6093"/>
      </w:tblGrid>
      <w:tr>
        <w:trPr>
          <w:tblHeader/>
        </w:trPr>
        <w:tc>
          <w:tcPr>
            <w:tcW w:type="dxa" w:w="293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Field</w:t>
            </w:r>
          </w:p>
        </w:tc>
        <w:tc>
          <w:tcPr>
            <w:tcW w:type="dxa" w:w="609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Details</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Reported by</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 and time found</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Project and client</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Exact location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What was found</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p>
            <w:pPr>
              <w:spacing w:after="40"/>
            </w:pPr>
          </w:p>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Immediate action taken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p>
            <w:pPr>
              <w:spacing w:after="40"/>
            </w:pP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Photographs taken?</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Yes / No</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Higher-risk building?</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Yes / No</w:t>
            </w:r>
          </w:p>
        </w:tc>
      </w:tr>
      <w:tr>
        <w:trPr>
          <w:tblHeader w:val="false"/>
        </w:trPr>
        <w:tc>
          <w:tcPr>
            <w:tcW w:type="dxa" w:w="293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 passed to Managing Director</w:t>
            </w:r>
          </w:p>
        </w:tc>
        <w:tc>
          <w:tcPr>
            <w:tcW w:type="dxa" w:w="609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p>
      <w:pPr>
        <w:pStyle w:val="Heading1"/>
        <w:pBdr>
          <w:bottom w:val="single" w:color="9A9A9A" w:sz="4" w:space="4"/>
        </w:pBdr>
        <w:spacing w:after="160" w:before="360"/>
      </w:pPr>
      <w:r>
        <w:rPr>
          <w:rFonts w:ascii="Arial" w:cs="Arial" w:eastAsia="Arial" w:hAnsi="Arial"/>
          <w:b/>
          <w:bCs/>
          <w:color w:val="2E4A5C"/>
          <w:sz w:val="24"/>
          <w:szCs w:val="24"/>
        </w:rPr>
        <w:t xml:space="preserve">APPENDIX B: DEFECT AND SAFETY OCCURRENCE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32"/>
        <w:gridCol w:w="1547"/>
        <w:gridCol w:w="2063"/>
        <w:gridCol w:w="1805"/>
        <w:gridCol w:w="1547"/>
        <w:gridCol w:w="1032"/>
      </w:tblGrid>
      <w:tr>
        <w:trPr>
          <w:tblHeader/>
        </w:trPr>
        <w:tc>
          <w:tcPr>
            <w:tcW w:type="dxa" w:w="1032"/>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Ref</w:t>
            </w:r>
          </w:p>
        </w:tc>
        <w:tc>
          <w:tcPr>
            <w:tcW w:type="dxa" w:w="154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2063"/>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Project and issue</w:t>
            </w:r>
          </w:p>
        </w:tc>
        <w:tc>
          <w:tcPr>
            <w:tcW w:type="dxa" w:w="1805"/>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Reported to and date</w:t>
            </w:r>
          </w:p>
        </w:tc>
        <w:tc>
          <w:tcPr>
            <w:tcW w:type="dxa" w:w="154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Response</w:t>
            </w:r>
          </w:p>
        </w:tc>
        <w:tc>
          <w:tcPr>
            <w:tcW w:type="dxa" w:w="1032"/>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Closed</w:t>
            </w:r>
          </w:p>
        </w:tc>
      </w:tr>
      <w:tr>
        <w:trPr>
          <w:tblHeader w:val="false"/>
        </w:trPr>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001</w:t>
            </w: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06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8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002</w:t>
            </w: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06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8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003</w:t>
            </w: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06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8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004</w:t>
            </w: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2063"/>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805"/>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54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c>
          <w:tcPr>
            <w:tcW w:type="dxa" w:w="1032"/>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spacing w:after="120"/>
      </w:pPr>
    </w:p>
    <w:p>
      <w:pPr>
        <w:spacing w:after="140" w:line="300"/>
      </w:pPr>
      <w:r>
        <w:rPr>
          <w:rFonts w:ascii="Arial" w:cs="Arial" w:eastAsia="Arial" w:hAnsi="Arial"/>
          <w:color w:val="3A3A3A"/>
          <w:sz w:val="21"/>
          <w:szCs w:val="21"/>
        </w:rPr>
        <w:t xml:space="preserve">If no matters have arisen in a year, the Managing Director records a nil return in the register and dates it.</w:t>
      </w:r>
    </w:p>
    <w:p>
      <w:pPr>
        <w:pStyle w:val="Heading1"/>
        <w:pageBreakBefore/>
        <w:pBdr>
          <w:bottom w:val="single" w:color="9A9A9A" w:sz="4" w:space="4"/>
        </w:pBdr>
        <w:spacing w:after="160" w:before="360"/>
      </w:pPr>
      <w:r>
        <w:rPr>
          <w:rFonts w:ascii="Arial" w:cs="Arial" w:eastAsia="Arial" w:hAnsi="Arial"/>
          <w:b/>
          <w:bCs/>
          <w:color w:val="2E4A5C"/>
          <w:sz w:val="24"/>
          <w:szCs w:val="24"/>
        </w:rPr>
        <w:t xml:space="preserve">APPROVAL AND VERSION CONTROL</w:t>
      </w:r>
    </w:p>
    <w:p>
      <w:pPr>
        <w:spacing w:after="140" w:line="300"/>
      </w:pPr>
      <w:r>
        <w:rPr>
          <w:rFonts w:ascii="Arial" w:cs="Arial" w:eastAsia="Arial" w:hAnsi="Arial"/>
          <w:color w:val="3A3A3A"/>
          <w:sz w:val="21"/>
          <w:szCs w:val="21"/>
        </w:rPr>
        <w:t xml:space="preserve">Approved by the Managing Director and brought to the attention of everyone who works for ⟦short⟧.</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p>
      <w:pPr>
        <w:pStyle w:val="Heading2"/>
        <w:keepNext/>
        <w:spacing w:after="100" w:before="220"/>
      </w:pPr>
      <w:r>
        <w:rPr>
          <w:rFonts w:ascii="Arial" w:cs="Arial" w:eastAsia="Arial" w:hAnsi="Arial"/>
          <w:b/>
          <w:bCs/>
          <w:color w:val="2E4A5C"/>
          <w:sz w:val="22"/>
          <w:szCs w:val="22"/>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7"/>
        <w:gridCol w:w="1417"/>
        <w:gridCol w:w="1469"/>
        <w:gridCol w:w="3359"/>
        <w:gridCol w:w="1574"/>
      </w:tblGrid>
      <w:tr>
        <w:trPr>
          <w:tblHeader/>
        </w:trPr>
        <w:tc>
          <w:tcPr>
            <w:tcW w:type="dxa" w:w="120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Version</w:t>
            </w:r>
          </w:p>
        </w:tc>
        <w:tc>
          <w:tcPr>
            <w:tcW w:type="dxa" w:w="14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Date</w:t>
            </w:r>
          </w:p>
        </w:tc>
        <w:tc>
          <w:tcPr>
            <w:tcW w:type="dxa" w:w="146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Author</w:t>
            </w:r>
          </w:p>
        </w:tc>
        <w:tc>
          <w:tcPr>
            <w:tcW w:type="dxa" w:w="335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Description</w:t>
            </w:r>
          </w:p>
        </w:tc>
        <w:tc>
          <w:tcPr>
            <w:tcW w:type="dxa" w:w="1574"/>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Approved by</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1.0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2025</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Mandatory Reporting Policy issued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120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2.0</w:t>
            </w:r>
          </w:p>
        </w:tc>
        <w:tc>
          <w:tcPr>
            <w:tcW w:type="dxa" w:w="14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c>
          <w:tcPr>
            <w:tcW w:type="dxa" w:w="14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w:t>
            </w:r>
          </w:p>
        </w:tc>
        <w:tc>
          <w:tcPr>
            <w:tcW w:type="dxa" w:w="335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Rewritten as the Defect and Building Safety Occurrence Reporting Policy. Reporting to manufacturers, accountable persons and the Office for Product Safety and Standards added. Security-specific examples, register and 15-year retention added.</w:t>
            </w:r>
          </w:p>
        </w:tc>
        <w:tc>
          <w:tcPr>
            <w:tcW w:type="dxa" w:w="1574"/>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bl>
    <w:p>
      <w:pPr>
        <w:spacing w:after="120"/>
      </w:pP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This was written for a security systems design consultancy. Check it fits ⟦specialism⟧ and rewrite it where it does not.</w:t>
      </w:r>
    </w:p>
  </w:comment>
  <w:comment w:id="5" w:author="AHS Ltd" w:initials="AHS" w:date="2026-10-13T00:00:00Z">
    <w:p>
      <w:r>
        <w:t xml:space="preserve">AHS Ltd review: This was written for a security systems design consultancy. Check it fits ⟦specialism⟧ and rewrite it where it does not.</w:t>
      </w:r>
    </w:p>
  </w:comment>
  <w:comment w:id="6"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Building Safety Defect and Occurrence Reporting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Building Safety Defect and Occurrence Reporting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