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943225"/>
                    </a:xfrm>
                    <a:prstGeom prst="rect">
                      <a:avLst/>
                    </a:prstGeom>
                  </pic:spPr>
                </pic:pic>
              </a:graphicData>
            </a:graphic>
          </wp:inline>
        </w:drawing>
      </w:r>
    </w:p>
    <w:p>
      <w:pPr>
        <w:spacing w:after="700"/>
        <w:jc w:val="center"/>
      </w:pPr>
      <w:r>
        <w:rPr>
          <w:rFonts w:ascii="Aptos Black" w:cs="Aptos Black" w:eastAsia="Aptos Black" w:hAnsi="Aptos Black"/>
          <w:b/>
          <w:bCs/>
          <w:color w:val="000000"/>
          <w:sz w:val="34"/>
          <w:szCs w:val="34"/>
        </w:rPr>
        <w:t xml:space="preserve">SEXUAL HARASSMENT PREVENTION POLICY AND ARRANGEMENTS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⟦issueMonth⟧</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Author</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Simon Archer (Archer Health &amp; Safety)</w:t>
            </w:r>
          </w:p>
        </w:tc>
      </w:tr>
      <w:tr>
        <w:tc>
          <w:tcPr>
            <w:tcW w:type="dxa" w:w="4680"/>
            <w:tcMar>
              <w:top w:type="dxa" w:w="60"/>
              <w:left w:type="dxa" w:w="110"/>
              <w:bottom w:type="dxa" w:w="60"/>
              <w:right w:type="dxa" w:w="110"/>
            </w:tcMar>
          </w:tcPr>
          <w:p>
            <w:pPr>
              <w:spacing w:after="40" w:before="40"/>
            </w:pPr>
            <w:r>
              <w:rPr>
                <w:rFonts w:ascii="Aptos" w:cs="Aptos" w:eastAsia="Aptos" w:hAnsi="Aptos"/>
                <w:b/>
                <w:bCs/>
                <w:sz w:val="22"/>
                <w:szCs w:val="22"/>
              </w:rPr>
              <w:t xml:space="preserve">Review Date</w:t>
            </w:r>
          </w:p>
        </w:tc>
        <w:tc>
          <w:tcPr>
            <w:tcW w:type="dxa" w:w="4680"/>
            <w:tcMar>
              <w:top w:type="dxa" w:w="60"/>
              <w:left w:type="dxa" w:w="110"/>
              <w:bottom w:type="dxa" w:w="60"/>
              <w:right w:type="dxa" w:w="110"/>
            </w:tcMar>
          </w:tcPr>
          <w:p>
            <w:pPr>
              <w:spacing w:after="40" w:before="40"/>
            </w:pPr>
            <w:r>
              <w:rPr>
                <w:rFonts w:ascii="Aptos" w:cs="Aptos" w:eastAsia="Aptos" w:hAnsi="Aptos"/>
                <w:sz w:val="22"/>
                <w:szCs w:val="22"/>
              </w:rPr>
              <w:t xml:space="preserve">⟦reviewMonth⟧</w:t>
            </w:r>
          </w:p>
        </w:tc>
      </w:tr>
    </w:tbl>
    <w:p>
      <w:pPr>
        <w:spacing w:after="1400"/>
      </w:pPr>
    </w:p>
    <w:p>
      <w:pPr>
        <w:spacing w:after="200"/>
        <w:jc w:val="center"/>
      </w:pPr>
      <w:r>
        <w:drawing>
          <wp:inline distT="0" distB="0" distL="0" distR="0">
            <wp:extent cx="5143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 cy="466725"/>
                    </a:xfrm>
                    <a:prstGeom prst="rect">
                      <a:avLst/>
                    </a:prstGeom>
                  </pic:spPr>
                </pic:pic>
              </a:graphicData>
            </a:graphic>
          </wp:inline>
        </w:drawing>
      </w:r>
    </w:p>
    <w:p>
      <w:pPr>
        <w:shd w:fill="1B1B1B" w:color="auto" w:val="clear"/>
        <w:spacing w:after="200" w:before="200"/>
        <w:jc w:val="center"/>
      </w:pPr>
      <w:r>
        <w:rPr>
          <w:rFonts w:ascii="Aptos" w:cs="Aptos" w:eastAsia="Aptos" w:hAnsi="Aptos"/>
          <w:color w:val="FFFFFF"/>
          <w:sz w:val="22"/>
          <w:szCs w:val="22"/>
        </w:rPr>
        <w:t xml:space="preserve">⟦legalName⟧</w:t>
      </w:r>
    </w:p>
    <w:p>
      <w:r>
        <w:br w:type="page"/>
      </w:r>
    </w:p>
    <w:p>
      <w:pPr>
        <w:spacing w:after="200"/>
      </w:pPr>
      <w:r>
        <w:rPr>
          <w:rFonts w:ascii="Calibri" w:cs="Calibri" w:eastAsia="Calibri" w:hAnsi="Calibri"/>
          <w:b/>
          <w:bCs/>
          <w:sz w:val="26"/>
          <w:szCs w:val="2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Aptos Black" w:cs="Aptos Black" w:eastAsia="Aptos Black" w:hAnsi="Aptos Black"/>
          <w:b/>
          <w:bCs/>
          <w:color w:val="E3DE00"/>
          <w:sz w:val="32"/>
          <w:szCs w:val="32"/>
        </w:rPr>
        <w:t xml:space="preserve">SECTION 1: POLICY STATEMENT</w:t>
      </w:r>
    </w:p>
    <w:p>
      <w:pPr>
        <w:pStyle w:val="Heading2"/>
        <w:spacing w:after="90" w:before="220"/>
      </w:pPr>
      <w:r>
        <w:rPr>
          <w:rFonts w:ascii="Calibri" w:cs="Calibri" w:eastAsia="Calibri" w:hAnsi="Calibri"/>
          <w:b/>
          <w:bCs/>
          <w:color w:val="002060"/>
          <w:sz w:val="24"/>
          <w:szCs w:val="24"/>
        </w:rPr>
        <w:t xml:space="preserve">1.1 Statement of Intent</w:t>
      </w:r>
    </w:p>
    <w:p>
      <w:pPr>
        <w:spacing w:after="140" w:line="264"/>
      </w:pPr>
      <w:r>
        <w:rPr>
          <w:rFonts w:ascii="Aptos" w:cs="Aptos" w:eastAsia="Aptos" w:hAnsi="Aptos"/>
          <w:color w:val="000000"/>
          <w:sz w:val="22"/>
          <w:szCs w:val="22"/>
        </w:rPr>
        <w:t xml:space="preserve">As Managing Director of ⟦legalName⟧ (⟦short⟧), I confirm that we will not tolerate sexual harassment of anyone who works for this Company, from anyone, at any time.</w:t>
      </w:r>
    </w:p>
    <w:p>
      <w:pPr>
        <w:spacing w:after="140" w:line="264"/>
      </w:pPr>
      <w:r>
        <w:rPr>
          <w:rFonts w:ascii="Aptos" w:cs="Aptos" w:eastAsia="Aptos" w:hAnsi="Aptos"/>
          <w:color w:val="000000"/>
          <w:sz w:val="22"/>
          <w:szCs w:val="22"/>
        </w:rPr>
        <w:t xml:space="preserve">Section 40A of the Equality Act 2010 places a positive duty on employers to take reasonable steps to prevent the sexual harassment of their employees. From 30 ⟦issueMonth⟧ that duty is raised to all reasonable steps, and employers become directly liable where a third party such as a client or contractor harasses their worker and the employer has not taken reasonable steps to prevent it. What counts as reasonable depends on the size and resources of the employer. This document sets out the steps a small consultancy can genuinely take, and takes them seriously.</w:t>
      </w:r>
    </w:p>
    <w:p>
      <w:pPr>
        <w:spacing w:after="140" w:line="264"/>
      </w:pPr>
      <w:r>
        <w:rPr>
          <w:rFonts w:ascii="Aptos" w:cs="Aptos" w:eastAsia="Aptos" w:hAnsi="Aptos"/>
          <w:color w:val="000000"/>
          <w:sz w:val="22"/>
          <w:szCs w:val="22"/>
        </w:rPr>
        <w:t xml:space="preserve">Being small does not make this less relevant. It makes some parts of it harder. ⟦short⟧ has no HR department, no separate manager to go to, and no crowd to disappear into, and the Managing Director is part of the working team rather than a layer above it. Anyone who is harassed here has few places to turn, and that is exactly why the external route in Section 4 is not a formality. It is the most important part of this policy.</w:t>
      </w:r>
    </w:p>
    <w:p>
      <w:pPr>
        <w:spacing w:after="140" w:line="264"/>
      </w:pPr>
      <w:r>
        <w:rPr>
          <w:rFonts w:ascii="Aptos" w:cs="Aptos" w:eastAsia="Aptos" w:hAnsi="Aptos"/>
          <w:color w:val="000000"/>
          <w:sz w:val="22"/>
          <w:szCs w:val="22"/>
        </w:rPr>
        <w:t xml:space="preserve">Sexual harassment is unlawful. Here it is gross misconduct, and it may also be a criminal offence. That applies to the Managing Director as much as to anyone else.</w:t>
      </w:r>
    </w:p>
    <w:p>
      <w:pPr>
        <w:spacing w:after="140" w:line="264"/>
      </w:pPr>
      <w:r>
        <w:rPr>
          <w:rFonts w:ascii="Aptos" w:cs="Aptos" w:eastAsia="Aptos" w:hAnsi="Aptos"/>
          <w:color w:val="000000"/>
          <w:sz w:val="22"/>
          <w:szCs w:val="22"/>
        </w:rPr>
        <w:t xml:space="preserve">No one who reports sexual harassment in good faith, or who supports or witnesses a report, will suffer any detriment for it.</w:t>
      </w:r>
    </w:p>
    <w:p>
      <w:pPr>
        <w:spacing w:after="600"/>
      </w:pPr>
    </w:p>
    <w:p>
      <w:pPr>
        <w:spacing w:after="60" w:line="264"/>
      </w:pPr>
      <w:r>
        <w:rPr>
          <w:rFonts w:ascii="Aptos" w:cs="Aptos" w:eastAsia="Aptos" w:hAnsi="Aptos"/>
          <w:color w:val="000000"/>
          <w:sz w:val="22"/>
          <w:szCs w:val="22"/>
        </w:rPr>
        <w:t xml:space="preserve">⟦hsLead⟧</w:t>
      </w:r>
    </w:p>
    <w:p>
      <w:pPr>
        <w:tabs>
          <w:tab w:val="right" w:pos="9740"/>
        </w:tabs>
        <w:spacing w:after="140"/>
      </w:pPr>
      <w:commentRangeStart w:id="1"/>
      <w:r>
        <w:rPr>
          <w:rFonts w:ascii="Aptos" w:cs="Aptos" w:eastAsia="Aptos" w:hAnsi="Aptos"/>
          <w:sz w:val="22"/>
          <w:szCs w:val="22"/>
          <w:highlight w:val="yellow"/>
        </w:rPr>
        <w:t xml:space="preserve">Managing Director, ⟦legalName⟧	Date: 14/08/2026</w:t>
      </w:r>
      <w:commentRangeEnd w:id="1"/>
      <w:r>
        <w:commentReference w:id="1"/>
      </w:r>
    </w:p>
    <w:p>
      <w:r>
        <w:br w:type="page"/>
      </w:r>
    </w:p>
    <w:p>
      <w:pPr>
        <w:pStyle w:val="Heading1"/>
        <w:spacing w:after="120" w:before="320"/>
      </w:pPr>
      <w:r>
        <w:rPr>
          <w:rFonts w:ascii="Aptos Black" w:cs="Aptos Black" w:eastAsia="Aptos Black" w:hAnsi="Aptos Black"/>
          <w:b/>
          <w:bCs/>
          <w:color w:val="E3DE00"/>
          <w:sz w:val="32"/>
          <w:szCs w:val="32"/>
        </w:rPr>
        <w:t xml:space="preserve">SECTION 2: WHAT BEHAVIOUR IS IN SCOPE</w:t>
      </w:r>
    </w:p>
    <w:p>
      <w:pPr>
        <w:pStyle w:val="Heading2"/>
        <w:spacing w:after="90" w:before="220"/>
      </w:pPr>
      <w:r>
        <w:rPr>
          <w:rFonts w:ascii="Calibri" w:cs="Calibri" w:eastAsia="Calibri" w:hAnsi="Calibri"/>
          <w:b/>
          <w:bCs/>
          <w:color w:val="002060"/>
          <w:sz w:val="24"/>
          <w:szCs w:val="24"/>
        </w:rPr>
        <w:t xml:space="preserve">2.1 Definition of sexual harassment</w:t>
      </w:r>
    </w:p>
    <w:p>
      <w:pPr>
        <w:spacing w:after="140" w:line="264"/>
      </w:pPr>
      <w:r>
        <w:rPr>
          <w:rFonts w:ascii="Aptos" w:cs="Aptos" w:eastAsia="Aptos" w:hAnsi="Aptos"/>
          <w:color w:val="000000"/>
          <w:sz w:val="22"/>
          <w:szCs w:val="22"/>
        </w:rPr>
        <w:t xml:space="preserve">Section 26(2) of the Equality Act 2010 defines sexual harassment as unwanted conduct of a sexual nature which has the purpose or effect of violating a person's dignity, or of creating an intimidating, hostile, degrading, humiliating or offensive environment for them.</w:t>
      </w:r>
    </w:p>
    <w:p>
      <w:pPr>
        <w:spacing w:after="140" w:line="264"/>
      </w:pPr>
      <w:r>
        <w:rPr>
          <w:rFonts w:ascii="Aptos" w:cs="Aptos" w:eastAsia="Aptos" w:hAnsi="Aptos"/>
          <w:color w:val="000000"/>
          <w:sz w:val="22"/>
          <w:szCs w:val="22"/>
        </w:rPr>
        <w:t xml:space="preserve">Four points about that definition matter in practice:</w:t>
      </w:r>
    </w:p>
    <w:p>
      <w:pPr>
        <w:pStyle w:val="ListParagraph"/>
        <w:numPr>
          <w:ilvl w:val="0"/>
          <w:numId w:val="2"/>
        </w:numPr>
        <w:spacing w:after="70" w:line="264"/>
      </w:pPr>
      <w:r>
        <w:rPr>
          <w:rFonts w:ascii="Aptos" w:cs="Aptos" w:eastAsia="Aptos" w:hAnsi="Aptos"/>
          <w:sz w:val="22"/>
          <w:szCs w:val="22"/>
        </w:rPr>
        <w:t xml:space="preserve">It does not have to be intended. If it has that effect, it is sexual harassment, whatever the person responsible meant by it or thought was funny.</w:t>
      </w:r>
    </w:p>
    <w:p>
      <w:pPr>
        <w:pStyle w:val="ListParagraph"/>
        <w:numPr>
          <w:ilvl w:val="0"/>
          <w:numId w:val="2"/>
        </w:numPr>
        <w:spacing w:after="70" w:line="264"/>
      </w:pPr>
      <w:r>
        <w:rPr>
          <w:rFonts w:ascii="Aptos" w:cs="Aptos" w:eastAsia="Aptos" w:hAnsi="Aptos"/>
          <w:sz w:val="22"/>
          <w:szCs w:val="22"/>
        </w:rPr>
        <w:t xml:space="preserve">One incident is enough. It does not have to be repeated.</w:t>
      </w:r>
    </w:p>
    <w:p>
      <w:pPr>
        <w:pStyle w:val="ListParagraph"/>
        <w:numPr>
          <w:ilvl w:val="0"/>
          <w:numId w:val="2"/>
        </w:numPr>
        <w:spacing w:after="70" w:line="264"/>
      </w:pPr>
      <w:r>
        <w:rPr>
          <w:rFonts w:ascii="Aptos" w:cs="Aptos" w:eastAsia="Aptos" w:hAnsi="Aptos"/>
          <w:sz w:val="22"/>
          <w:szCs w:val="22"/>
        </w:rPr>
        <w:t xml:space="preserve">It does not have to be aimed at the person complaining. Overhearing it, or being copied into it, can be enough.</w:t>
      </w:r>
    </w:p>
    <w:p>
      <w:pPr>
        <w:pStyle w:val="ListParagraph"/>
        <w:numPr>
          <w:ilvl w:val="0"/>
          <w:numId w:val="2"/>
        </w:numPr>
        <w:spacing w:after="70" w:line="264"/>
      </w:pPr>
      <w:r>
        <w:rPr>
          <w:rFonts w:ascii="Aptos" w:cs="Aptos" w:eastAsia="Aptos" w:hAnsi="Aptos"/>
          <w:sz w:val="22"/>
          <w:szCs w:val="22"/>
        </w:rPr>
        <w:t xml:space="preserve">It is not a defence that it was banter, that everyone joins in, that nobody has ever complained, or that the person laughed at the time.</w:t>
      </w:r>
    </w:p>
    <w:p>
      <w:pPr>
        <w:spacing w:after="140" w:line="264"/>
      </w:pPr>
      <w:r>
        <w:rPr>
          <w:rFonts w:ascii="Aptos" w:cs="Aptos" w:eastAsia="Aptos" w:hAnsi="Aptos"/>
          <w:color w:val="000000"/>
          <w:sz w:val="22"/>
          <w:szCs w:val="22"/>
        </w:rPr>
        <w:t xml:space="preserve">It applies whatever the sex, gender or sexual orientation of the people involved, including between people of the same sex.</w:t>
      </w:r>
    </w:p>
    <w:p>
      <w:pPr>
        <w:pStyle w:val="Heading2"/>
        <w:spacing w:after="90" w:before="220"/>
      </w:pPr>
      <w:r>
        <w:rPr>
          <w:rFonts w:ascii="Calibri" w:cs="Calibri" w:eastAsia="Calibri" w:hAnsi="Calibri"/>
          <w:b/>
          <w:bCs/>
          <w:color w:val="002060"/>
          <w:sz w:val="24"/>
          <w:szCs w:val="24"/>
        </w:rPr>
        <w:t xml:space="preserve">2.2 Related conduct also covered</w:t>
      </w:r>
    </w:p>
    <w:p>
      <w:pPr>
        <w:pStyle w:val="ListParagraph"/>
        <w:numPr>
          <w:ilvl w:val="0"/>
          <w:numId w:val="2"/>
        </w:numPr>
        <w:spacing w:after="70" w:line="264"/>
      </w:pPr>
      <w:r>
        <w:rPr>
          <w:rFonts w:ascii="Aptos" w:cs="Aptos" w:eastAsia="Aptos" w:hAnsi="Aptos"/>
          <w:sz w:val="22"/>
          <w:szCs w:val="22"/>
        </w:rPr>
        <w:t xml:space="preserve">Harassment related to sex: unwanted conduct related to someone's sex that is not itself sexual, such as belittling their technical competence because of their sex. In a technical design environment this is the form it most often takes.</w:t>
      </w:r>
    </w:p>
    <w:p>
      <w:pPr>
        <w:pStyle w:val="ListParagraph"/>
        <w:numPr>
          <w:ilvl w:val="0"/>
          <w:numId w:val="2"/>
        </w:numPr>
        <w:spacing w:after="70" w:line="264"/>
      </w:pPr>
      <w:r>
        <w:rPr>
          <w:rFonts w:ascii="Aptos" w:cs="Aptos" w:eastAsia="Aptos" w:hAnsi="Aptos"/>
          <w:sz w:val="22"/>
          <w:szCs w:val="22"/>
        </w:rPr>
        <w:t xml:space="preserve">Treating someone worse for rejecting or submitting to sexual harassment, for example taking them off a project, cutting their hours or withdrawing an opportunity because they refused an advance. That is unlawful victimisation.</w:t>
      </w:r>
    </w:p>
    <w:p>
      <w:pPr>
        <w:pStyle w:val="ListParagraph"/>
        <w:numPr>
          <w:ilvl w:val="0"/>
          <w:numId w:val="2"/>
        </w:numPr>
        <w:spacing w:after="70" w:line="264"/>
      </w:pPr>
      <w:r>
        <w:rPr>
          <w:rFonts w:ascii="Aptos" w:cs="Aptos" w:eastAsia="Aptos" w:hAnsi="Aptos"/>
          <w:sz w:val="22"/>
          <w:szCs w:val="22"/>
        </w:rPr>
        <w:t xml:space="preserve">Harassment related to any other protected characteristic: age, disability, gender reassignment, marriage and civil partnership, pregnancy and maternity, race, religion or belief, or sexual orientation. That is covered by the Harassment and Bullying Policy, and by the third-party provisions in Section 3 of this one.</w:t>
      </w:r>
    </w:p>
    <w:p>
      <w:pPr>
        <w:pStyle w:val="Heading2"/>
        <w:spacing w:after="90" w:before="220"/>
      </w:pPr>
      <w:r>
        <w:rPr>
          <w:rFonts w:ascii="Calibri" w:cs="Calibri" w:eastAsia="Calibri" w:hAnsi="Calibri"/>
          <w:b/>
          <w:bCs/>
          <w:color w:val="002060"/>
          <w:sz w:val="24"/>
          <w:szCs w:val="24"/>
        </w:rPr>
        <w:t xml:space="preserve">2.3 Examples</w:t>
      </w:r>
    </w:p>
    <w:p>
      <w:pPr>
        <w:spacing w:after="140" w:line="264"/>
      </w:pPr>
      <w:r>
        <w:rPr>
          <w:rFonts w:ascii="Aptos" w:cs="Aptos" w:eastAsia="Aptos" w:hAnsi="Aptos"/>
          <w:color w:val="000000"/>
          <w:sz w:val="22"/>
          <w:szCs w:val="22"/>
        </w:rPr>
        <w:t xml:space="preserve">Not an exhaustive list. Any of these will be treated as a disciplinary matter:</w:t>
      </w:r>
    </w:p>
    <w:p>
      <w:pPr>
        <w:pStyle w:val="ListParagraph"/>
        <w:numPr>
          <w:ilvl w:val="0"/>
          <w:numId w:val="2"/>
        </w:numPr>
        <w:spacing w:after="70" w:line="264"/>
      </w:pPr>
      <w:r>
        <w:rPr>
          <w:rFonts w:ascii="Aptos" w:cs="Aptos" w:eastAsia="Aptos" w:hAnsi="Aptos"/>
          <w:sz w:val="22"/>
          <w:szCs w:val="22"/>
        </w:rPr>
        <w:t xml:space="preserve">Sexual comments, jokes, innuendo or remarks about someone's body, appearance, clothing or sex life, including on a video call or in a group chat.</w:t>
      </w:r>
    </w:p>
    <w:p>
      <w:pPr>
        <w:pStyle w:val="ListParagraph"/>
        <w:numPr>
          <w:ilvl w:val="0"/>
          <w:numId w:val="2"/>
        </w:numPr>
        <w:spacing w:after="70" w:line="264"/>
      </w:pPr>
      <w:r>
        <w:rPr>
          <w:rFonts w:ascii="Aptos" w:cs="Aptos" w:eastAsia="Aptos" w:hAnsi="Aptos"/>
          <w:sz w:val="22"/>
          <w:szCs w:val="22"/>
        </w:rPr>
        <w:t xml:space="preserve">Unwanted physical contact of any kind, including touching, hugging, brushing past, or any form of sexual assault.</w:t>
      </w:r>
    </w:p>
    <w:p>
      <w:pPr>
        <w:pStyle w:val="ListParagraph"/>
        <w:numPr>
          <w:ilvl w:val="0"/>
          <w:numId w:val="2"/>
        </w:numPr>
        <w:spacing w:after="70" w:line="264"/>
      </w:pPr>
      <w:r>
        <w:rPr>
          <w:rFonts w:ascii="Aptos" w:cs="Aptos" w:eastAsia="Aptos" w:hAnsi="Aptos"/>
          <w:sz w:val="22"/>
          <w:szCs w:val="22"/>
        </w:rPr>
        <w:t xml:space="preserve">Staring, leering or sexual gestures, including on camera.</w:t>
      </w:r>
    </w:p>
    <w:p>
      <w:pPr>
        <w:pStyle w:val="ListParagraph"/>
        <w:numPr>
          <w:ilvl w:val="0"/>
          <w:numId w:val="2"/>
        </w:numPr>
        <w:spacing w:after="70" w:line="264"/>
      </w:pPr>
      <w:r>
        <w:rPr>
          <w:rFonts w:ascii="Aptos" w:cs="Aptos" w:eastAsia="Aptos" w:hAnsi="Aptos"/>
          <w:sz w:val="22"/>
          <w:szCs w:val="22"/>
        </w:rPr>
        <w:t xml:space="preserve">Sexual propositions, or continuing to ask someone out after they have said no.</w:t>
      </w:r>
    </w:p>
    <w:p>
      <w:pPr>
        <w:pStyle w:val="ListParagraph"/>
        <w:numPr>
          <w:ilvl w:val="0"/>
          <w:numId w:val="2"/>
        </w:numPr>
        <w:spacing w:after="70" w:line="264"/>
      </w:pPr>
      <w:r>
        <w:rPr>
          <w:rFonts w:ascii="Aptos" w:cs="Aptos" w:eastAsia="Aptos" w:hAnsi="Aptos"/>
          <w:sz w:val="22"/>
          <w:szCs w:val="22"/>
        </w:rPr>
        <w:t xml:space="preserve">Suggesting that a promotion, a project, a reference or a pay rise might depend on a sexual relationship.</w:t>
      </w:r>
    </w:p>
    <w:p>
      <w:pPr>
        <w:pStyle w:val="ListParagraph"/>
        <w:numPr>
          <w:ilvl w:val="0"/>
          <w:numId w:val="2"/>
        </w:numPr>
        <w:spacing w:after="70" w:line="264"/>
      </w:pPr>
      <w:r>
        <w:rPr>
          <w:rFonts w:ascii="Aptos" w:cs="Aptos" w:eastAsia="Aptos" w:hAnsi="Aptos"/>
          <w:sz w:val="22"/>
          <w:szCs w:val="22"/>
        </w:rPr>
        <w:t xml:space="preserve">Displaying, sharing or viewing sexual images or material, including on a phone or laptop, on a shared screen, in a vehicle, or on a client's site.</w:t>
      </w:r>
    </w:p>
    <w:p>
      <w:pPr>
        <w:pStyle w:val="ListParagraph"/>
        <w:numPr>
          <w:ilvl w:val="0"/>
          <w:numId w:val="2"/>
        </w:numPr>
        <w:spacing w:after="70" w:line="264"/>
      </w:pPr>
      <w:r>
        <w:rPr>
          <w:rFonts w:ascii="Aptos" w:cs="Aptos" w:eastAsia="Aptos" w:hAnsi="Aptos"/>
          <w:sz w:val="22"/>
          <w:szCs w:val="22"/>
        </w:rPr>
        <w:t xml:space="preserve">Sending sexual messages, images or content by text, email, WhatsApp, Teams, social media or any other channel, including outside working hours.</w:t>
      </w:r>
    </w:p>
    <w:p>
      <w:pPr>
        <w:pStyle w:val="ListParagraph"/>
        <w:numPr>
          <w:ilvl w:val="0"/>
          <w:numId w:val="2"/>
        </w:numPr>
        <w:spacing w:after="70" w:line="264"/>
      </w:pPr>
      <w:r>
        <w:rPr>
          <w:rFonts w:ascii="Aptos" w:cs="Aptos" w:eastAsia="Aptos" w:hAnsi="Aptos"/>
          <w:sz w:val="22"/>
          <w:szCs w:val="22"/>
        </w:rPr>
        <w:t xml:space="preserve">Spreading sexual rumours about a colleague, or speculating about their private life.</w:t>
      </w:r>
    </w:p>
    <w:p>
      <w:pPr>
        <w:pStyle w:val="ListParagraph"/>
        <w:numPr>
          <w:ilvl w:val="0"/>
          <w:numId w:val="2"/>
        </w:numPr>
        <w:spacing w:after="70" w:line="264"/>
      </w:pPr>
      <w:r>
        <w:rPr>
          <w:rFonts w:ascii="Aptos" w:cs="Aptos" w:eastAsia="Aptos" w:hAnsi="Aptos"/>
          <w:sz w:val="22"/>
          <w:szCs w:val="22"/>
        </w:rPr>
        <w:t xml:space="preserve">Asking intrusive questions about someone's private or sexual life.</w:t>
      </w:r>
    </w:p>
    <w:p>
      <w:pPr>
        <w:pStyle w:val="ListParagraph"/>
        <w:numPr>
          <w:ilvl w:val="0"/>
          <w:numId w:val="2"/>
        </w:numPr>
        <w:spacing w:after="70" w:line="264"/>
      </w:pPr>
      <w:r>
        <w:rPr>
          <w:rFonts w:ascii="Aptos" w:cs="Aptos" w:eastAsia="Aptos" w:hAnsi="Aptos"/>
          <w:sz w:val="22"/>
          <w:szCs w:val="22"/>
        </w:rPr>
        <w:t xml:space="preserve">Repeatedly contacting a colleague in a way that makes them uncomfortable.</w:t>
      </w:r>
    </w:p>
    <w:p>
      <w:pPr>
        <w:pStyle w:val="Heading2"/>
        <w:spacing w:after="90" w:before="220"/>
      </w:pPr>
      <w:r>
        <w:rPr>
          <w:rFonts w:ascii="Calibri" w:cs="Calibri" w:eastAsia="Calibri" w:hAnsi="Calibri"/>
          <w:b/>
          <w:bCs/>
          <w:color w:val="002060"/>
          <w:sz w:val="24"/>
          <w:szCs w:val="24"/>
        </w:rPr>
        <w:t xml:space="preserve">2.4 Where and when this applies</w:t>
      </w:r>
    </w:p>
    <w:p>
      <w:pPr>
        <w:spacing w:after="140" w:line="264"/>
      </w:pPr>
      <w:r>
        <w:rPr>
          <w:rFonts w:ascii="Aptos" w:cs="Aptos" w:eastAsia="Aptos" w:hAnsi="Aptos"/>
          <w:color w:val="000000"/>
          <w:sz w:val="22"/>
          <w:szCs w:val="22"/>
        </w:rPr>
        <w:t xml:space="preserve">This policy applies wherever there is a sufficient connection with work. Because the team works remotely rather than from an office, that is a wider set of places than it would be for an office-based firm:</w:t>
      </w:r>
    </w:p>
    <w:p>
      <w:pPr>
        <w:pStyle w:val="ListParagraph"/>
        <w:numPr>
          <w:ilvl w:val="0"/>
          <w:numId w:val="2"/>
        </w:numPr>
        <w:spacing w:after="70" w:line="264"/>
      </w:pPr>
      <w:r>
        <w:rPr>
          <w:rFonts w:ascii="Aptos" w:cs="Aptos" w:eastAsia="Aptos" w:hAnsi="Aptos"/>
          <w:sz w:val="22"/>
          <w:szCs w:val="22"/>
        </w:rPr>
        <w:t xml:space="preserve">Any location where our people are working, including at home.</w:t>
      </w:r>
    </w:p>
    <w:p>
      <w:pPr>
        <w:pStyle w:val="ListParagraph"/>
        <w:numPr>
          <w:ilvl w:val="0"/>
          <w:numId w:val="2"/>
        </w:numPr>
        <w:spacing w:after="70" w:line="264"/>
      </w:pPr>
      <w:commentRangeStart w:id="2"/>
      <w:r>
        <w:rPr>
          <w:rFonts w:ascii="Aptos" w:cs="Aptos" w:eastAsia="Aptos" w:hAnsi="Aptos"/>
          <w:sz w:val="22"/>
          <w:szCs w:val="22"/>
          <w:highlight w:val="yellow"/>
        </w:rPr>
        <w:t xml:space="preserve">Client premises, site surveys, site meetings and design workshops.</w:t>
      </w:r>
      <w:commentRangeEnd w:id="2"/>
      <w:r>
        <w:commentReference w:id="2"/>
      </w:r>
    </w:p>
    <w:p>
      <w:pPr>
        <w:pStyle w:val="ListParagraph"/>
        <w:numPr>
          <w:ilvl w:val="0"/>
          <w:numId w:val="2"/>
        </w:numPr>
        <w:spacing w:after="70" w:line="264"/>
      </w:pPr>
      <w:r>
        <w:rPr>
          <w:rFonts w:ascii="Aptos" w:cs="Aptos" w:eastAsia="Aptos" w:hAnsi="Aptos"/>
          <w:sz w:val="22"/>
          <w:szCs w:val="22"/>
        </w:rPr>
        <w:t xml:space="preserve">Video calls, telephone calls, email, messaging apps and shared documents, at any time of day. For a remote team this is the workplace, and conduct there is treated exactly as it would be in an office.</w:t>
      </w:r>
    </w:p>
    <w:p>
      <w:pPr>
        <w:pStyle w:val="ListParagraph"/>
        <w:numPr>
          <w:ilvl w:val="0"/>
          <w:numId w:val="2"/>
        </w:numPr>
        <w:spacing w:after="70" w:line="264"/>
      </w:pPr>
      <w:r>
        <w:rPr>
          <w:rFonts w:ascii="Aptos" w:cs="Aptos" w:eastAsia="Aptos" w:hAnsi="Aptos"/>
          <w:sz w:val="22"/>
          <w:szCs w:val="22"/>
        </w:rPr>
        <w:t xml:space="preserve">Vehicles used for work, and travel to and from client sites.</w:t>
      </w:r>
    </w:p>
    <w:p>
      <w:pPr>
        <w:pStyle w:val="ListParagraph"/>
        <w:numPr>
          <w:ilvl w:val="0"/>
          <w:numId w:val="2"/>
        </w:numPr>
        <w:spacing w:after="70" w:line="264"/>
      </w:pPr>
      <w:r>
        <w:rPr>
          <w:rFonts w:ascii="Aptos" w:cs="Aptos" w:eastAsia="Aptos" w:hAnsi="Aptos"/>
          <w:sz w:val="22"/>
          <w:szCs w:val="22"/>
        </w:rPr>
        <w:t xml:space="preserve">Client entertainment, industry events, CPD sessions, supplier events, training courses and team social events, whether or not we organised them and whether or not there is alcohol.</w:t>
      </w:r>
    </w:p>
    <w:p>
      <w:pPr>
        <w:pStyle w:val="Heading1"/>
        <w:spacing w:after="120" w:before="320"/>
      </w:pPr>
      <w:r>
        <w:rPr>
          <w:rFonts w:ascii="Aptos Black" w:cs="Aptos Black" w:eastAsia="Aptos Black" w:hAnsi="Aptos Black"/>
          <w:b/>
          <w:bCs/>
          <w:color w:val="E3DE00"/>
          <w:sz w:val="32"/>
          <w:szCs w:val="32"/>
        </w:rPr>
        <w:t xml:space="preserve">SECTION 3: ZERO TOLERANCE, INCLUDING HARASSMENT BY THIRD PARTIES</w:t>
      </w:r>
    </w:p>
    <w:p>
      <w:pPr>
        <w:pStyle w:val="Heading2"/>
        <w:spacing w:after="90" w:before="220"/>
      </w:pPr>
      <w:r>
        <w:rPr>
          <w:rFonts w:ascii="Calibri" w:cs="Calibri" w:eastAsia="Calibri" w:hAnsi="Calibri"/>
          <w:b/>
          <w:bCs/>
          <w:color w:val="002060"/>
          <w:sz w:val="24"/>
          <w:szCs w:val="24"/>
        </w:rPr>
        <w:t xml:space="preserve">3.1 What zero tolerance means here</w:t>
      </w:r>
    </w:p>
    <w:p>
      <w:pPr>
        <w:spacing w:after="140" w:line="264"/>
      </w:pPr>
      <w:r>
        <w:rPr>
          <w:rFonts w:ascii="Aptos" w:cs="Aptos" w:eastAsia="Aptos" w:hAnsi="Aptos"/>
          <w:color w:val="000000"/>
          <w:sz w:val="22"/>
          <w:szCs w:val="22"/>
        </w:rPr>
        <w:t xml:space="preserve">Every report is taken seriously and acted on. No report is dismissed as banter or as an overreaction. Behaviour is dealt with even where the person affected does not want to take a formal complaint forward. Seniority, being a Director, length of service and the value of a client relationship give no one any protection.</w:t>
      </w:r>
    </w:p>
    <w:p>
      <w:pPr>
        <w:pStyle w:val="Heading2"/>
        <w:spacing w:after="90" w:before="220"/>
      </w:pPr>
      <w:r>
        <w:rPr>
          <w:rFonts w:ascii="Calibri" w:cs="Calibri" w:eastAsia="Calibri" w:hAnsi="Calibri"/>
          <w:b/>
          <w:bCs/>
          <w:color w:val="002060"/>
          <w:sz w:val="24"/>
          <w:szCs w:val="24"/>
        </w:rPr>
        <w:t xml:space="preserve">3.2 Harassment by clients, contractors and others</w:t>
      </w:r>
    </w:p>
    <w:p>
      <w:pPr>
        <w:spacing w:after="140" w:line="264"/>
      </w:pPr>
      <w:r>
        <w:rPr>
          <w:rFonts w:ascii="Aptos" w:cs="Aptos" w:eastAsia="Aptos" w:hAnsi="Aptos"/>
          <w:color w:val="000000"/>
          <w:sz w:val="22"/>
          <w:szCs w:val="22"/>
        </w:rPr>
        <w:t xml:space="preserve">Our people spend part of their time on other organisations' premises and in other organisations' meetings. We have no disciplinary control over the people they meet there, which is precisely why the Company has to take responsibility for the situations it sends them into.</w:t>
      </w:r>
    </w:p>
    <w:p>
      <w:pPr>
        <w:spacing w:after="140" w:line="264"/>
      </w:pPr>
      <w:r>
        <w:rPr>
          <w:rFonts w:ascii="Aptos" w:cs="Aptos" w:eastAsia="Aptos" w:hAnsi="Aptos"/>
          <w:color w:val="000000"/>
          <w:sz w:val="22"/>
          <w:szCs w:val="22"/>
        </w:rPr>
        <w:t xml:space="preserve">From 30 ⟦issueMonth⟧ ⟦short⟧ can be directly liable where a third party harasses one of our workers and we have not taken reasonable steps to prevent it. Our steps are:</w:t>
      </w:r>
    </w:p>
    <w:p>
      <w:pPr>
        <w:pStyle w:val="ListParagraph"/>
        <w:numPr>
          <w:ilvl w:val="0"/>
          <w:numId w:val="2"/>
        </w:numPr>
        <w:spacing w:after="70" w:line="264"/>
      </w:pPr>
      <w:r>
        <w:rPr>
          <w:rFonts w:ascii="Aptos" w:cs="Aptos" w:eastAsia="Aptos" w:hAnsi="Aptos"/>
          <w:sz w:val="22"/>
          <w:szCs w:val="22"/>
        </w:rPr>
        <w:t xml:space="preserve">Every employee is told, in plain terms and in writing, that they are not expected to put up with sexual harassment from a client, a contractor or anyone else in order to protect our fee. If it happens, leave the meeting or the site. Nobody needs permission first, and nobody will be criticised for it afterwards.</w:t>
      </w:r>
    </w:p>
    <w:p>
      <w:pPr>
        <w:pStyle w:val="ListParagraph"/>
        <w:numPr>
          <w:ilvl w:val="0"/>
          <w:numId w:val="2"/>
        </w:numPr>
        <w:spacing w:after="70" w:line="264"/>
      </w:pPr>
      <w:commentRangeStart w:id="3"/>
      <w:r>
        <w:rPr>
          <w:rFonts w:ascii="Aptos" w:cs="Aptos" w:eastAsia="Aptos" w:hAnsi="Aptos"/>
          <w:sz w:val="22"/>
          <w:szCs w:val="22"/>
          <w:highlight w:val="yellow"/>
        </w:rPr>
        <w:t xml:space="preserve">Site surveys are arranged in advance and carried out under escort by the client. We do not send people to survey occupied or unfamiliar premises alone and unannounced.</w:t>
      </w:r>
      <w:commentRangeEnd w:id="3"/>
      <w:r>
        <w:commentReference w:id="3"/>
      </w:r>
    </w:p>
    <w:p>
      <w:pPr>
        <w:pStyle w:val="ListParagraph"/>
        <w:numPr>
          <w:ilvl w:val="0"/>
          <w:numId w:val="2"/>
        </w:numPr>
        <w:spacing w:after="70" w:line="264"/>
      </w:pPr>
      <w:r>
        <w:rPr>
          <w:rFonts w:ascii="Aptos" w:cs="Aptos" w:eastAsia="Aptos" w:hAnsi="Aptos"/>
          <w:sz w:val="22"/>
          <w:szCs w:val="22"/>
        </w:rPr>
        <w:t xml:space="preserve">Where a survey or meeting is at a location or with a party that has generated a concern before, the Managing Director attends as well or the visit is rearranged.</w:t>
      </w:r>
    </w:p>
    <w:p>
      <w:pPr>
        <w:pStyle w:val="ListParagraph"/>
        <w:numPr>
          <w:ilvl w:val="0"/>
          <w:numId w:val="2"/>
        </w:numPr>
        <w:spacing w:after="70" w:line="264"/>
      </w:pPr>
      <w:r>
        <w:rPr>
          <w:rFonts w:ascii="Aptos" w:cs="Aptos" w:eastAsia="Aptos" w:hAnsi="Aptos"/>
          <w:sz w:val="22"/>
          <w:szCs w:val="22"/>
        </w:rPr>
        <w:t xml:space="preserve">An incident involving a client or contractor is raised formally with that organisation by the Managing Director, in writing.</w:t>
      </w:r>
    </w:p>
    <w:p>
      <w:pPr>
        <w:pStyle w:val="ListParagraph"/>
        <w:numPr>
          <w:ilvl w:val="0"/>
          <w:numId w:val="2"/>
        </w:numPr>
        <w:spacing w:after="70" w:line="264"/>
      </w:pPr>
      <w:r>
        <w:rPr>
          <w:rFonts w:ascii="Aptos" w:cs="Aptos" w:eastAsia="Aptos" w:hAnsi="Aptos"/>
          <w:sz w:val="22"/>
          <w:szCs w:val="22"/>
        </w:rPr>
        <w:t xml:space="preserve">If the behaviour does not stop, we take the individual off that account, or we resign the commission. We have done the arithmetic on this in advance so that the decision does not have to be made under commercial pressure on the day.</w:t>
      </w:r>
    </w:p>
    <w:p>
      <w:pPr>
        <w:pStyle w:val="ListParagraph"/>
        <w:numPr>
          <w:ilvl w:val="0"/>
          <w:numId w:val="2"/>
        </w:numPr>
        <w:spacing w:after="70" w:line="264"/>
      </w:pPr>
      <w:r>
        <w:rPr>
          <w:rFonts w:ascii="Aptos" w:cs="Aptos" w:eastAsia="Aptos" w:hAnsi="Aptos"/>
          <w:sz w:val="22"/>
          <w:szCs w:val="22"/>
        </w:rPr>
        <w:t xml:space="preserve">Third-party incidents go in the same record as internal ones, so a pattern at one client is visible.</w:t>
      </w:r>
    </w:p>
    <w:p>
      <w:pPr>
        <w:pStyle w:val="Heading2"/>
        <w:spacing w:after="90" w:before="220"/>
      </w:pPr>
      <w:r>
        <w:rPr>
          <w:rFonts w:ascii="Calibri" w:cs="Calibri" w:eastAsia="Calibri" w:hAnsi="Calibri"/>
          <w:b/>
          <w:bCs/>
          <w:color w:val="002060"/>
          <w:sz w:val="24"/>
          <w:szCs w:val="24"/>
        </w:rPr>
        <w:t xml:space="preserve">3.3 Our own conduct towards others</w:t>
      </w:r>
    </w:p>
    <w:p>
      <w:pPr>
        <w:spacing w:after="140" w:line="264"/>
      </w:pPr>
      <w:r>
        <w:rPr>
          <w:rFonts w:ascii="Aptos" w:cs="Aptos" w:eastAsia="Aptos" w:hAnsi="Aptos"/>
          <w:color w:val="000000"/>
          <w:sz w:val="22"/>
          <w:szCs w:val="22"/>
        </w:rPr>
        <w:t xml:space="preserve">The same standard applies the other way round. Anyone from ⟦short⟧ who sexually harasses a client's staff, a contractor's staff or anyone else they meet through this work will be dealt with under the disciplinary procedure and may be dismissed for gross misconduct.</w:t>
      </w:r>
    </w:p>
    <w:p>
      <w:pPr>
        <w:pStyle w:val="Heading1"/>
        <w:spacing w:after="120" w:before="320"/>
      </w:pPr>
      <w:r>
        <w:rPr>
          <w:rFonts w:ascii="Aptos Black" w:cs="Aptos Black" w:eastAsia="Aptos Black" w:hAnsi="Aptos Black"/>
          <w:b/>
          <w:bCs/>
          <w:color w:val="E3DE00"/>
          <w:sz w:val="32"/>
          <w:szCs w:val="32"/>
        </w:rPr>
        <w:t xml:space="preserve">SECTION 4: HOW TO RAISE A CONCERN, AND WHAT HAPPENS NEXT</w:t>
      </w:r>
    </w:p>
    <w:p>
      <w:pPr>
        <w:pStyle w:val="Heading2"/>
        <w:spacing w:after="90" w:before="220"/>
      </w:pPr>
      <w:r>
        <w:rPr>
          <w:rFonts w:ascii="Calibri" w:cs="Calibri" w:eastAsia="Calibri" w:hAnsi="Calibri"/>
          <w:b/>
          <w:bCs/>
          <w:color w:val="002060"/>
          <w:sz w:val="24"/>
          <w:szCs w:val="24"/>
        </w:rPr>
        <w:t xml:space="preserve">4.1 The routes</w:t>
      </w:r>
    </w:p>
    <w:p>
      <w:pPr>
        <w:spacing w:after="140" w:line="264"/>
      </w:pPr>
      <w:r>
        <w:rPr>
          <w:rFonts w:ascii="Aptos" w:cs="Aptos" w:eastAsia="Aptos" w:hAnsi="Aptos"/>
          <w:color w:val="000000"/>
          <w:sz w:val="22"/>
          <w:szCs w:val="22"/>
        </w:rPr>
        <w:t xml:space="preserve">In a business this small the internal options are limited, and pretending otherwise would be dishonest. These are the routes that actually exist:</w:t>
      </w:r>
    </w:p>
    <w:p>
      <w:pPr>
        <w:pStyle w:val="ListParagraph"/>
        <w:numPr>
          <w:ilvl w:val="0"/>
          <w:numId w:val="2"/>
        </w:numPr>
        <w:spacing w:after="70" w:line="264"/>
      </w:pPr>
      <w:r>
        <w:rPr>
          <w:rFonts w:ascii="Aptos" w:cs="Aptos" w:eastAsia="Aptos" w:hAnsi="Aptos"/>
          <w:sz w:val="22"/>
          <w:szCs w:val="22"/>
        </w:rPr>
        <w:t xml:space="preserve">Route 1. The Managing Director, ⟦hsLead⟧.</w:t>
      </w:r>
    </w:p>
    <w:p>
      <w:pPr>
        <w:pStyle w:val="ListParagraph"/>
        <w:numPr>
          <w:ilvl w:val="0"/>
          <w:numId w:val="2"/>
        </w:numPr>
        <w:spacing w:after="70" w:line="264"/>
      </w:pPr>
      <w:r>
        <w:rPr>
          <w:rFonts w:ascii="Aptos" w:cs="Aptos" w:eastAsia="Aptos" w:hAnsi="Aptos"/>
          <w:sz w:val="22"/>
          <w:szCs w:val="22"/>
        </w:rPr>
        <w:t xml:space="preserve">Route 2. If your concern is about the Managing Director, or you would rather not raise it with him, contact ACAS on 0300 123 1100 for free, confidential advice.</w:t>
      </w:r>
    </w:p>
    <w:p>
      <w:pPr>
        <w:pStyle w:val="ListParagraph"/>
        <w:numPr>
          <w:ilvl w:val="0"/>
          <w:numId w:val="2"/>
        </w:numPr>
        <w:spacing w:after="70" w:line="264"/>
      </w:pPr>
      <w:r>
        <w:rPr>
          <w:rFonts w:ascii="Aptos" w:cs="Aptos" w:eastAsia="Aptos" w:hAnsi="Aptos"/>
          <w:sz w:val="22"/>
          <w:szCs w:val="22"/>
        </w:rPr>
        <w:t xml:space="preserve">Route 3. If you do not want to raise it inside the Company at all, go outside. Protect, the independent whistleblowing charity, gives free confidential advice on 020 3117 2520. ACAS can be reached on 0300 123 1100. The Equality Advisory and Support Service advises on discrimination.</w:t>
      </w:r>
    </w:p>
    <w:p>
      <w:pPr>
        <w:pStyle w:val="ListParagraph"/>
        <w:numPr>
          <w:ilvl w:val="0"/>
          <w:numId w:val="2"/>
        </w:numPr>
        <w:spacing w:after="70" w:line="264"/>
      </w:pPr>
      <w:r>
        <w:rPr>
          <w:rFonts w:ascii="Aptos" w:cs="Aptos" w:eastAsia="Aptos" w:hAnsi="Aptos"/>
          <w:sz w:val="22"/>
          <w:szCs w:val="22"/>
        </w:rPr>
        <w:t xml:space="preserve">Route 4. Where the behaviour may be a criminal offence, the police. Nothing in this policy stops anyone contacting the police, and the Company will support you if you do.</w:t>
      </w:r>
    </w:p>
    <w:p>
      <w:pPr>
        <w:spacing w:after="140" w:line="264"/>
      </w:pPr>
      <w:r>
        <w:rPr>
          <w:rFonts w:ascii="Aptos" w:cs="Aptos" w:eastAsia="Aptos" w:hAnsi="Aptos"/>
          <w:color w:val="000000"/>
          <w:sz w:val="22"/>
          <w:szCs w:val="22"/>
        </w:rPr>
        <w:t xml:space="preserve">You can raise a concern in person, by phone, by email or in writing. You can raise it anonymously. You can raise it about something that happened to someone else. You do not have to confront the person responsible, and you never have to put it in writing before we will act on it.</w:t>
      </w:r>
    </w:p>
    <w:p>
      <w:pPr>
        <w:pStyle w:val="Heading2"/>
        <w:spacing w:after="90" w:before="220"/>
      </w:pPr>
      <w:r>
        <w:rPr>
          <w:rFonts w:ascii="Calibri" w:cs="Calibri" w:eastAsia="Calibri" w:hAnsi="Calibri"/>
          <w:b/>
          <w:bCs/>
          <w:color w:val="002060"/>
          <w:sz w:val="24"/>
          <w:szCs w:val="24"/>
        </w:rPr>
        <w:t xml:space="preserve">4.2 Being honest about confidentiality</w:t>
      </w:r>
    </w:p>
    <w:p>
      <w:pPr>
        <w:spacing w:after="140" w:line="264"/>
      </w:pPr>
      <w:r>
        <w:rPr>
          <w:rFonts w:ascii="Aptos" w:cs="Aptos" w:eastAsia="Aptos" w:hAnsi="Aptos"/>
          <w:color w:val="000000"/>
          <w:sz w:val="22"/>
          <w:szCs w:val="22"/>
        </w:rPr>
        <w:t xml:space="preserve">In a business this small, we cannot promise that an investigation will keep your identity secret. Often it will be obvious. We will share information only with people who need it, we will tell you before we tell anyone else, and we will discuss with you how to handle it. But we would rather say this plainly now than promise something we cannot deliver. Anyone who works out who raised a concern and treats them badly for it is committing a further disciplinary offence.</w:t>
      </w:r>
    </w:p>
    <w:p>
      <w:pPr>
        <w:pStyle w:val="Heading2"/>
        <w:spacing w:after="90" w:before="220"/>
      </w:pPr>
      <w:r>
        <w:rPr>
          <w:rFonts w:ascii="Calibri" w:cs="Calibri" w:eastAsia="Calibri" w:hAnsi="Calibri"/>
          <w:b/>
          <w:bCs/>
          <w:color w:val="002060"/>
          <w:sz w:val="24"/>
          <w:szCs w:val="24"/>
        </w:rPr>
        <w:t xml:space="preserve">4.3 Informal resolution</w:t>
      </w:r>
    </w:p>
    <w:p>
      <w:pPr>
        <w:spacing w:after="140" w:line="264"/>
      </w:pPr>
      <w:r>
        <w:rPr>
          <w:rFonts w:ascii="Aptos" w:cs="Aptos" w:eastAsia="Aptos" w:hAnsi="Aptos"/>
          <w:color w:val="000000"/>
          <w:sz w:val="22"/>
          <w:szCs w:val="22"/>
        </w:rPr>
        <w:t xml:space="preserve">If you want it dealt with informally, and the conduct is at a level where that is appropriate, the Managing Director can speak to the person concerned and make clear it must stop. That is always your choice. You will never be pushed towards the informal route to keep things quiet, and choosing it does not stop you raising a formal complaint later. Informal resolutions are still written down.</w:t>
      </w:r>
    </w:p>
    <w:p>
      <w:pPr>
        <w:pStyle w:val="Heading2"/>
        <w:spacing w:after="90" w:before="220"/>
      </w:pPr>
      <w:r>
        <w:rPr>
          <w:rFonts w:ascii="Calibri" w:cs="Calibri" w:eastAsia="Calibri" w:hAnsi="Calibri"/>
          <w:b/>
          <w:bCs/>
          <w:color w:val="002060"/>
          <w:sz w:val="24"/>
          <w:szCs w:val="24"/>
        </w:rPr>
        <w:t xml:space="preserve">4.4 Formal process</w:t>
      </w:r>
    </w:p>
    <w:p>
      <w:pPr>
        <w:pStyle w:val="ListParagraph"/>
        <w:numPr>
          <w:ilvl w:val="0"/>
          <w:numId w:val="2"/>
        </w:numPr>
        <w:spacing w:after="70" w:line="264"/>
      </w:pPr>
      <w:r>
        <w:rPr>
          <w:rFonts w:ascii="Aptos" w:cs="Aptos" w:eastAsia="Aptos" w:hAnsi="Aptos"/>
          <w:sz w:val="22"/>
          <w:szCs w:val="22"/>
        </w:rPr>
        <w:t xml:space="preserve">The Managing Director acknowledges the concern in writing within two working days and tells you who is handling it.</w:t>
      </w:r>
    </w:p>
    <w:p>
      <w:pPr>
        <w:pStyle w:val="ListParagraph"/>
        <w:numPr>
          <w:ilvl w:val="0"/>
          <w:numId w:val="2"/>
        </w:numPr>
        <w:spacing w:after="70" w:line="264"/>
      </w:pPr>
      <w:r>
        <w:rPr>
          <w:rFonts w:ascii="Aptos" w:cs="Aptos" w:eastAsia="Aptos" w:hAnsi="Aptos"/>
          <w:sz w:val="22"/>
          <w:szCs w:val="22"/>
        </w:rPr>
        <w:t xml:space="preserve">Protection first. Before anything else, we consider what needs to change straight away: taking someone off a shared project, changing who attends a client meeting, or suspending the person complained about. Any change is made to the person complained about wherever possible, not to you.</w:t>
      </w:r>
    </w:p>
    <w:p>
      <w:pPr>
        <w:pStyle w:val="ListParagraph"/>
        <w:numPr>
          <w:ilvl w:val="0"/>
          <w:numId w:val="2"/>
        </w:numPr>
        <w:spacing w:after="70" w:line="264"/>
      </w:pPr>
      <w:r>
        <w:rPr>
          <w:rFonts w:ascii="Aptos" w:cs="Aptos" w:eastAsia="Aptos" w:hAnsi="Aptos"/>
          <w:sz w:val="22"/>
          <w:szCs w:val="22"/>
        </w:rPr>
        <w:t xml:space="preserve">Support. Time off to attend appointments, adjusted workload, and details of external support. You can be accompanied at any meeting by a colleague or a trade union representative.</w:t>
      </w:r>
    </w:p>
    <w:p>
      <w:pPr>
        <w:pStyle w:val="ListParagraph"/>
        <w:numPr>
          <w:ilvl w:val="0"/>
          <w:numId w:val="2"/>
        </w:numPr>
        <w:spacing w:after="70" w:line="264"/>
      </w:pPr>
      <w:r>
        <w:rPr>
          <w:rFonts w:ascii="Aptos" w:cs="Aptos" w:eastAsia="Aptos" w:hAnsi="Aptos"/>
          <w:sz w:val="22"/>
          <w:szCs w:val="22"/>
        </w:rPr>
        <w:t xml:space="preserve">Investigation. The Managing Director investigates. Where the concern involves the Managing Director, or he is too close to it, the Company appoints an independent investigator from outside, chosen at the time. In a firm this size that is not a last resort, it is the normal answer, and the Managing Director has accepted in advance that it will be paid for.</w:t>
      </w:r>
    </w:p>
    <w:p>
      <w:pPr>
        <w:pStyle w:val="ListParagraph"/>
        <w:numPr>
          <w:ilvl w:val="0"/>
          <w:numId w:val="2"/>
        </w:numPr>
        <w:spacing w:after="70" w:line="264"/>
      </w:pPr>
      <w:r>
        <w:rPr>
          <w:rFonts w:ascii="Aptos" w:cs="Aptos" w:eastAsia="Aptos" w:hAnsi="Aptos"/>
          <w:sz w:val="22"/>
          <w:szCs w:val="22"/>
        </w:rPr>
        <w:t xml:space="preserve">Fairness. The person accused is told what is alleged and given a proper chance to respond. Emails, messages and calendar records are preserved first.</w:t>
      </w:r>
    </w:p>
    <w:p>
      <w:pPr>
        <w:pStyle w:val="ListParagraph"/>
        <w:numPr>
          <w:ilvl w:val="0"/>
          <w:numId w:val="2"/>
        </w:numPr>
        <w:spacing w:after="70" w:line="264"/>
      </w:pPr>
      <w:r>
        <w:rPr>
          <w:rFonts w:ascii="Aptos" w:cs="Aptos" w:eastAsia="Aptos" w:hAnsi="Aptos"/>
          <w:sz w:val="22"/>
          <w:szCs w:val="22"/>
        </w:rPr>
        <w:t xml:space="preserve">Outcome. The findings and the reasons are written down and given to both parties. If upheld, action follows under the disciplinary procedure, up to summary dismissal for gross misconduct.</w:t>
      </w:r>
    </w:p>
    <w:p>
      <w:pPr>
        <w:pStyle w:val="ListParagraph"/>
        <w:numPr>
          <w:ilvl w:val="0"/>
          <w:numId w:val="2"/>
        </w:numPr>
        <w:spacing w:after="70" w:line="264"/>
      </w:pPr>
      <w:r>
        <w:rPr>
          <w:rFonts w:ascii="Aptos" w:cs="Aptos" w:eastAsia="Aptos" w:hAnsi="Aptos"/>
          <w:sz w:val="22"/>
          <w:szCs w:val="22"/>
        </w:rPr>
        <w:t xml:space="preserve">Appeal. Either party can appeal in writing within five working days, to an independent person appointed from outside the Company.</w:t>
      </w:r>
    </w:p>
    <w:p>
      <w:pPr>
        <w:pStyle w:val="ListParagraph"/>
        <w:numPr>
          <w:ilvl w:val="0"/>
          <w:numId w:val="2"/>
        </w:numPr>
        <w:spacing w:after="70" w:line="264"/>
      </w:pPr>
      <w:r>
        <w:rPr>
          <w:rFonts w:ascii="Aptos" w:cs="Aptos" w:eastAsia="Aptos" w:hAnsi="Aptos"/>
          <w:sz w:val="22"/>
          <w:szCs w:val="22"/>
        </w:rPr>
        <w:t xml:space="preserve">Timescale. We aim to finish within four weeks. If it takes longer, we tell you in writing why.</w:t>
      </w:r>
    </w:p>
    <w:p>
      <w:pPr>
        <w:pStyle w:val="Heading2"/>
        <w:spacing w:after="90" w:before="220"/>
      </w:pPr>
      <w:r>
        <w:rPr>
          <w:rFonts w:ascii="Calibri" w:cs="Calibri" w:eastAsia="Calibri" w:hAnsi="Calibri"/>
          <w:b/>
          <w:bCs/>
          <w:color w:val="002060"/>
          <w:sz w:val="24"/>
          <w:szCs w:val="24"/>
        </w:rPr>
        <w:t xml:space="preserve">4.5 Protection for people who report</w:t>
      </w:r>
    </w:p>
    <w:p>
      <w:pPr>
        <w:pStyle w:val="ListParagraph"/>
        <w:numPr>
          <w:ilvl w:val="0"/>
          <w:numId w:val="2"/>
        </w:numPr>
        <w:spacing w:after="70" w:line="264"/>
      </w:pPr>
      <w:r>
        <w:rPr>
          <w:rFonts w:ascii="Aptos" w:cs="Aptos" w:eastAsia="Aptos" w:hAnsi="Aptos"/>
          <w:sz w:val="22"/>
          <w:szCs w:val="22"/>
        </w:rPr>
        <w:t xml:space="preserve">Nobody will be dismissed, disciplined, moved off work, denied opportunities or treated worse for making or supporting a report in good faith, even if it is not upheld.</w:t>
      </w:r>
    </w:p>
    <w:p>
      <w:pPr>
        <w:pStyle w:val="ListParagraph"/>
        <w:numPr>
          <w:ilvl w:val="0"/>
          <w:numId w:val="2"/>
        </w:numPr>
        <w:spacing w:after="70" w:line="264"/>
      </w:pPr>
      <w:r>
        <w:rPr>
          <w:rFonts w:ascii="Aptos" w:cs="Aptos" w:eastAsia="Aptos" w:hAnsi="Aptos"/>
          <w:sz w:val="22"/>
          <w:szCs w:val="22"/>
        </w:rPr>
        <w:t xml:space="preserve">Victimising someone who has reported, supported or given evidence is itself gross misconduct.</w:t>
      </w:r>
    </w:p>
    <w:p>
      <w:pPr>
        <w:pStyle w:val="ListParagraph"/>
        <w:numPr>
          <w:ilvl w:val="0"/>
          <w:numId w:val="2"/>
        </w:numPr>
        <w:spacing w:after="70" w:line="264"/>
      </w:pPr>
      <w:r>
        <w:rPr>
          <w:rFonts w:ascii="Aptos" w:cs="Aptos" w:eastAsia="Aptos" w:hAnsi="Aptos"/>
          <w:sz w:val="22"/>
          <w:szCs w:val="22"/>
        </w:rPr>
        <w:t xml:space="preserve">⟦short⟧ will not use a non-disclosure or confidentiality agreement to stop anyone reporting sexual harassment, going to the police or a regulator, or getting medical, legal or personal support.</w:t>
      </w:r>
    </w:p>
    <w:p>
      <w:pPr>
        <w:pStyle w:val="ListParagraph"/>
        <w:numPr>
          <w:ilvl w:val="0"/>
          <w:numId w:val="2"/>
        </w:numPr>
        <w:spacing w:after="70" w:line="264"/>
      </w:pPr>
      <w:r>
        <w:rPr>
          <w:rFonts w:ascii="Aptos" w:cs="Aptos" w:eastAsia="Aptos" w:hAnsi="Aptos"/>
          <w:sz w:val="22"/>
          <w:szCs w:val="22"/>
        </w:rPr>
        <w:t xml:space="preserve">A deliberately false allegation is a disciplinary matter. A complaint made in good faith that is not upheld never is.</w:t>
      </w:r>
    </w:p>
    <w:p>
      <w:pPr>
        <w:pStyle w:val="Heading1"/>
        <w:spacing w:after="120" w:before="320"/>
      </w:pPr>
      <w:r>
        <w:rPr>
          <w:rFonts w:ascii="Aptos Black" w:cs="Aptos Black" w:eastAsia="Aptos Black" w:hAnsi="Aptos Black"/>
          <w:b/>
          <w:bCs/>
          <w:color w:val="E3DE00"/>
          <w:sz w:val="32"/>
          <w:szCs w:val="32"/>
        </w:rPr>
        <w:t xml:space="preserve">SECTION 5: COMMUNICATION AND TRAINING</w:t>
      </w:r>
    </w:p>
    <w:p>
      <w:pPr>
        <w:spacing w:after="140" w:line="264"/>
      </w:pPr>
      <w:r>
        <w:rPr>
          <w:rFonts w:ascii="Aptos" w:cs="Aptos" w:eastAsia="Aptos" w:hAnsi="Aptos"/>
          <w:color w:val="000000"/>
          <w:sz w:val="22"/>
          <w:szCs w:val="22"/>
        </w:rPr>
        <w:t xml:space="preserve">We have no office, no noticeboard and no learning management system. Communication runs through email and the Company's shared document folder.</w:t>
      </w:r>
    </w:p>
    <w:p>
      <w:pPr>
        <w:pStyle w:val="ListParagraph"/>
        <w:numPr>
          <w:ilvl w:val="0"/>
          <w:numId w:val="2"/>
        </w:numPr>
        <w:spacing w:after="70" w:line="264"/>
      </w:pPr>
      <w:r>
        <w:rPr>
          <w:rFonts w:ascii="Aptos" w:cs="Aptos" w:eastAsia="Aptos" w:hAnsi="Aptos"/>
          <w:sz w:val="22"/>
          <w:szCs w:val="22"/>
        </w:rPr>
        <w:t xml:space="preserve">This policy is held in the shared document folder, which every employee can access from anywhere.</w:t>
      </w:r>
    </w:p>
    <w:p>
      <w:pPr>
        <w:pStyle w:val="ListParagraph"/>
        <w:numPr>
          <w:ilvl w:val="0"/>
          <w:numId w:val="2"/>
        </w:numPr>
        <w:spacing w:after="70" w:line="264"/>
      </w:pPr>
      <w:r>
        <w:rPr>
          <w:rFonts w:ascii="Aptos" w:cs="Aptos" w:eastAsia="Aptos" w:hAnsi="Aptos"/>
          <w:sz w:val="22"/>
          <w:szCs w:val="22"/>
        </w:rPr>
        <w:t xml:space="preserve">When it is issued or revised, the Managing Director emails it to all staff and asks each person to reply confirming they have received and read it. The email and the replies are saved.</w:t>
      </w:r>
    </w:p>
    <w:p>
      <w:pPr>
        <w:pStyle w:val="ListParagraph"/>
        <w:numPr>
          <w:ilvl w:val="0"/>
          <w:numId w:val="2"/>
        </w:numPr>
        <w:spacing w:after="70" w:line="264"/>
      </w:pPr>
      <w:r>
        <w:rPr>
          <w:rFonts w:ascii="Aptos" w:cs="Aptos" w:eastAsia="Aptos" w:hAnsi="Aptos"/>
          <w:sz w:val="22"/>
          <w:szCs w:val="22"/>
        </w:rPr>
        <w:t xml:space="preserve">Every employee signs the annual Policy Acknowledgement Form covering the current version.</w:t>
      </w:r>
    </w:p>
    <w:p>
      <w:pPr>
        <w:pStyle w:val="ListParagraph"/>
        <w:numPr>
          <w:ilvl w:val="0"/>
          <w:numId w:val="2"/>
        </w:numPr>
        <w:spacing w:after="70" w:line="264"/>
      </w:pPr>
      <w:r>
        <w:rPr>
          <w:rFonts w:ascii="Aptos" w:cs="Aptos" w:eastAsia="Aptos" w:hAnsi="Aptos"/>
          <w:sz w:val="22"/>
          <w:szCs w:val="22"/>
        </w:rPr>
        <w:t xml:space="preserve">This policy is covered at the annual team meeting, including what is in scope, harassment by clients and contractors, the reporting routes, and the fact that leaving a client site because of someone's behaviour is always the right call. The meeting is minuted and the attendance record is signed by everyone present.</w:t>
      </w:r>
    </w:p>
    <w:p>
      <w:pPr>
        <w:pStyle w:val="ListParagraph"/>
        <w:numPr>
          <w:ilvl w:val="0"/>
          <w:numId w:val="2"/>
        </w:numPr>
        <w:spacing w:after="70" w:line="264"/>
      </w:pPr>
      <w:r>
        <w:rPr>
          <w:rFonts w:ascii="Aptos" w:cs="Aptos" w:eastAsia="Aptos" w:hAnsi="Aptos"/>
          <w:sz w:val="22"/>
          <w:szCs w:val="22"/>
        </w:rPr>
        <w:t xml:space="preserve">All staff complete a short online sexual harassment awareness course once a year, and the certificates are saved. For a business this size that is a more realistic and more consistent way of delivering the content than trying to run our own training.</w:t>
      </w:r>
    </w:p>
    <w:p>
      <w:pPr>
        <w:pStyle w:val="ListParagraph"/>
        <w:numPr>
          <w:ilvl w:val="0"/>
          <w:numId w:val="2"/>
        </w:numPr>
        <w:spacing w:after="70" w:line="264"/>
      </w:pPr>
      <w:r>
        <w:rPr>
          <w:rFonts w:ascii="Aptos" w:cs="Aptos" w:eastAsia="Aptos" w:hAnsi="Aptos"/>
          <w:sz w:val="22"/>
          <w:szCs w:val="22"/>
        </w:rPr>
        <w:t xml:space="preserve">The reporting routes, including the external numbers, are set out on a single page issued with the policy and saved where everyone can reach it, so nobody has to search for them at a bad moment.</w:t>
      </w:r>
    </w:p>
    <w:p>
      <w:pPr>
        <w:pStyle w:val="ListParagraph"/>
        <w:numPr>
          <w:ilvl w:val="0"/>
          <w:numId w:val="2"/>
        </w:numPr>
        <w:spacing w:after="70" w:line="264"/>
      </w:pPr>
      <w:r>
        <w:rPr>
          <w:rFonts w:ascii="Aptos" w:cs="Aptos" w:eastAsia="Aptos" w:hAnsi="Aptos"/>
          <w:sz w:val="22"/>
          <w:szCs w:val="22"/>
        </w:rPr>
        <w:t xml:space="preserve">A new starter is emailed the policy pack before their start date and signs the acknowledgement as part of the New Starter Checklist.</w:t>
      </w:r>
    </w:p>
    <w:p>
      <w:pPr>
        <w:pStyle w:val="Heading1"/>
        <w:spacing w:after="120" w:before="320"/>
      </w:pPr>
      <w:r>
        <w:rPr>
          <w:rFonts w:ascii="Aptos Black" w:cs="Aptos Black" w:eastAsia="Aptos Black" w:hAnsi="Aptos Black"/>
          <w:b/>
          <w:bCs/>
          <w:color w:val="E3DE00"/>
          <w:sz w:val="32"/>
          <w:szCs w:val="32"/>
        </w:rPr>
        <w:t xml:space="preserve">SECTION 6: MONITORING AND REVIEW</w:t>
      </w:r>
    </w:p>
    <w:p>
      <w:pPr>
        <w:pStyle w:val="Heading2"/>
        <w:spacing w:after="90" w:before="220"/>
      </w:pPr>
      <w:r>
        <w:rPr>
          <w:rFonts w:ascii="Calibri" w:cs="Calibri" w:eastAsia="Calibri" w:hAnsi="Calibri"/>
          <w:b/>
          <w:bCs/>
          <w:color w:val="002060"/>
          <w:sz w:val="24"/>
          <w:szCs w:val="24"/>
        </w:rPr>
        <w:t xml:space="preserve">6.1 Risk assessment</w:t>
      </w:r>
    </w:p>
    <w:p>
      <w:pPr>
        <w:spacing w:after="140" w:line="264"/>
      </w:pPr>
      <w:r>
        <w:rPr>
          <w:rFonts w:ascii="Aptos" w:cs="Aptos" w:eastAsia="Aptos" w:hAnsi="Aptos"/>
          <w:color w:val="000000"/>
          <w:sz w:val="22"/>
          <w:szCs w:val="22"/>
        </w:rPr>
        <w:t xml:space="preserve">The Company carries out and records a specific sexual harassment risk assessment, which is the foundation of everything in this policy. It identifies where in this business harassment could realistically happen, who is most exposed, and what we do about it. The current assessment is issued alongside this policy. It is reviewed once a year and after any reported incident, and whenever the team, the client base or the way we work changes materially.</w:t>
      </w:r>
    </w:p>
    <w:p>
      <w:pPr>
        <w:pStyle w:val="Heading2"/>
        <w:spacing w:after="90" w:before="220"/>
      </w:pPr>
      <w:r>
        <w:rPr>
          <w:rFonts w:ascii="Calibri" w:cs="Calibri" w:eastAsia="Calibri" w:hAnsi="Calibri"/>
          <w:b/>
          <w:bCs/>
          <w:color w:val="002060"/>
          <w:sz w:val="24"/>
          <w:szCs w:val="24"/>
        </w:rPr>
        <w:t xml:space="preserve">6.2 What we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2300"/>
        <w:gridCol w:w="2160"/>
      </w:tblGrid>
      <w:tr>
        <w:trPr>
          <w:tblHeader/>
        </w:trPr>
        <w:tc>
          <w:tcPr>
            <w:tcW w:type="dxa" w:w="49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What</w:t>
            </w:r>
          </w:p>
        </w:tc>
        <w:tc>
          <w:tcPr>
            <w:tcW w:type="dxa" w:w="23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How often</w:t>
            </w:r>
          </w:p>
        </w:tc>
        <w:tc>
          <w:tcPr>
            <w:tcW w:type="dxa" w:w="216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Who</w:t>
            </w:r>
          </w:p>
        </w:tc>
      </w:tr>
      <w:tr>
        <w:tc>
          <w:tcPr>
            <w:tcW w:type="dxa" w:w="4900"/>
            <w:tcMar>
              <w:top w:type="dxa" w:w="60"/>
              <w:left w:type="dxa" w:w="110"/>
              <w:bottom w:type="dxa" w:w="60"/>
              <w:right w:type="dxa" w:w="110"/>
            </w:tcMar>
          </w:tcPr>
          <w:p>
            <w:pPr>
              <w:spacing w:after="40" w:before="40"/>
            </w:pPr>
            <w:r>
              <w:rPr>
                <w:rFonts w:ascii="Aptos" w:cs="Aptos" w:eastAsia="Aptos" w:hAnsi="Aptos"/>
                <w:sz w:val="20"/>
                <w:szCs w:val="20"/>
              </w:rPr>
              <w:t xml:space="preserve">A written record of every concern raised, formal or informal, internal or third party</w:t>
            </w:r>
          </w:p>
        </w:tc>
        <w:tc>
          <w:tcPr>
            <w:tcW w:type="dxa" w:w="2300"/>
            <w:tcMar>
              <w:top w:type="dxa" w:w="60"/>
              <w:left w:type="dxa" w:w="110"/>
              <w:bottom w:type="dxa" w:w="60"/>
              <w:right w:type="dxa" w:w="110"/>
            </w:tcMar>
          </w:tcPr>
          <w:p>
            <w:pPr>
              <w:spacing w:after="40" w:before="40"/>
            </w:pPr>
            <w:r>
              <w:rPr>
                <w:rFonts w:ascii="Aptos" w:cs="Aptos" w:eastAsia="Aptos" w:hAnsi="Aptos"/>
                <w:sz w:val="20"/>
                <w:szCs w:val="20"/>
              </w:rPr>
              <w:t xml:space="preserve">As they happen</w:t>
            </w:r>
          </w:p>
        </w:tc>
        <w:tc>
          <w:tcPr>
            <w:tcW w:type="dxa" w:w="216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r>
      <w:tr>
        <w:tc>
          <w:tcPr>
            <w:tcW w:type="dxa" w:w="4900"/>
            <w:tcMar>
              <w:top w:type="dxa" w:w="60"/>
              <w:left w:type="dxa" w:w="110"/>
              <w:bottom w:type="dxa" w:w="60"/>
              <w:right w:type="dxa" w:w="110"/>
            </w:tcMar>
          </w:tcPr>
          <w:p>
            <w:pPr>
              <w:spacing w:after="40" w:before="40"/>
            </w:pPr>
            <w:r>
              <w:rPr>
                <w:rFonts w:ascii="Aptos" w:cs="Aptos" w:eastAsia="Aptos" w:hAnsi="Aptos"/>
                <w:sz w:val="20"/>
                <w:szCs w:val="20"/>
              </w:rPr>
              <w:t xml:space="preserve">Review of that record for any pattern by person, client or site</w:t>
            </w:r>
          </w:p>
        </w:tc>
        <w:tc>
          <w:tcPr>
            <w:tcW w:type="dxa" w:w="2300"/>
            <w:tcMar>
              <w:top w:type="dxa" w:w="60"/>
              <w:left w:type="dxa" w:w="110"/>
              <w:bottom w:type="dxa" w:w="60"/>
              <w:right w:type="dxa" w:w="110"/>
            </w:tcMar>
          </w:tcPr>
          <w:p>
            <w:pPr>
              <w:spacing w:after="40" w:before="40"/>
            </w:pPr>
            <w:r>
              <w:rPr>
                <w:rFonts w:ascii="Aptos" w:cs="Aptos" w:eastAsia="Aptos" w:hAnsi="Aptos"/>
                <w:sz w:val="20"/>
                <w:szCs w:val="20"/>
              </w:rPr>
              <w:t xml:space="preserve">Annually, at the team meeting</w:t>
            </w:r>
          </w:p>
        </w:tc>
        <w:tc>
          <w:tcPr>
            <w:tcW w:type="dxa" w:w="216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r>
      <w:tr>
        <w:tc>
          <w:tcPr>
            <w:tcW w:type="dxa" w:w="4900"/>
            <w:tcMar>
              <w:top w:type="dxa" w:w="60"/>
              <w:left w:type="dxa" w:w="110"/>
              <w:bottom w:type="dxa" w:w="60"/>
              <w:right w:type="dxa" w:w="110"/>
            </w:tcMar>
          </w:tcPr>
          <w:p>
            <w:pPr>
              <w:spacing w:after="40" w:before="40"/>
            </w:pPr>
            <w:r>
              <w:rPr>
                <w:rFonts w:ascii="Aptos" w:cs="Aptos" w:eastAsia="Aptos" w:hAnsi="Aptos"/>
                <w:sz w:val="20"/>
                <w:szCs w:val="20"/>
              </w:rPr>
              <w:t xml:space="preserve">Review of the sexual harassment risk assessment</w:t>
            </w:r>
          </w:p>
        </w:tc>
        <w:tc>
          <w:tcPr>
            <w:tcW w:type="dxa" w:w="2300"/>
            <w:tcMar>
              <w:top w:type="dxa" w:w="60"/>
              <w:left w:type="dxa" w:w="110"/>
              <w:bottom w:type="dxa" w:w="60"/>
              <w:right w:type="dxa" w:w="110"/>
            </w:tcMar>
          </w:tcPr>
          <w:p>
            <w:pPr>
              <w:spacing w:after="40" w:before="40"/>
            </w:pPr>
            <w:r>
              <w:rPr>
                <w:rFonts w:ascii="Aptos" w:cs="Aptos" w:eastAsia="Aptos" w:hAnsi="Aptos"/>
                <w:sz w:val="20"/>
                <w:szCs w:val="20"/>
              </w:rPr>
              <w:t xml:space="preserve">Annually, and after any incident</w:t>
            </w:r>
          </w:p>
        </w:tc>
        <w:tc>
          <w:tcPr>
            <w:tcW w:type="dxa" w:w="216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r>
      <w:tr>
        <w:tc>
          <w:tcPr>
            <w:tcW w:type="dxa" w:w="4900"/>
            <w:tcMar>
              <w:top w:type="dxa" w:w="60"/>
              <w:left w:type="dxa" w:w="110"/>
              <w:bottom w:type="dxa" w:w="60"/>
              <w:right w:type="dxa" w:w="110"/>
            </w:tcMar>
          </w:tcPr>
          <w:p>
            <w:pPr>
              <w:spacing w:after="40" w:before="40"/>
            </w:pPr>
            <w:r>
              <w:rPr>
                <w:rFonts w:ascii="Aptos" w:cs="Aptos" w:eastAsia="Aptos" w:hAnsi="Aptos"/>
                <w:sz w:val="20"/>
                <w:szCs w:val="20"/>
              </w:rPr>
              <w:t xml:space="preserve">Confirmation that every employee's annual training certificate is in date</w:t>
            </w:r>
          </w:p>
        </w:tc>
        <w:tc>
          <w:tcPr>
            <w:tcW w:type="dxa" w:w="2300"/>
            <w:tcMar>
              <w:top w:type="dxa" w:w="60"/>
              <w:left w:type="dxa" w:w="110"/>
              <w:bottom w:type="dxa" w:w="60"/>
              <w:right w:type="dxa" w:w="110"/>
            </w:tcMar>
          </w:tcPr>
          <w:p>
            <w:pPr>
              <w:spacing w:after="40" w:before="40"/>
            </w:pPr>
            <w:r>
              <w:rPr>
                <w:rFonts w:ascii="Aptos" w:cs="Aptos" w:eastAsia="Aptos" w:hAnsi="Aptos"/>
                <w:sz w:val="20"/>
                <w:szCs w:val="20"/>
              </w:rPr>
              <w:t xml:space="preserve">Annually</w:t>
            </w:r>
          </w:p>
        </w:tc>
        <w:tc>
          <w:tcPr>
            <w:tcW w:type="dxa" w:w="216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r>
      <w:tr>
        <w:tc>
          <w:tcPr>
            <w:tcW w:type="dxa" w:w="4900"/>
            <w:tcMar>
              <w:top w:type="dxa" w:w="60"/>
              <w:left w:type="dxa" w:w="110"/>
              <w:bottom w:type="dxa" w:w="60"/>
              <w:right w:type="dxa" w:w="110"/>
            </w:tcMar>
          </w:tcPr>
          <w:p>
            <w:pPr>
              <w:spacing w:after="40" w:before="40"/>
            </w:pPr>
            <w:r>
              <w:rPr>
                <w:rFonts w:ascii="Aptos" w:cs="Aptos" w:eastAsia="Aptos" w:hAnsi="Aptos"/>
                <w:sz w:val="20"/>
                <w:szCs w:val="20"/>
              </w:rPr>
              <w:t xml:space="preserve">A direct question at each employee's annual review about whether they have experienced or seen anything covered by this policy</w:t>
            </w:r>
          </w:p>
        </w:tc>
        <w:tc>
          <w:tcPr>
            <w:tcW w:type="dxa" w:w="2300"/>
            <w:tcMar>
              <w:top w:type="dxa" w:w="60"/>
              <w:left w:type="dxa" w:w="110"/>
              <w:bottom w:type="dxa" w:w="60"/>
              <w:right w:type="dxa" w:w="110"/>
            </w:tcMar>
          </w:tcPr>
          <w:p>
            <w:pPr>
              <w:spacing w:after="40" w:before="40"/>
            </w:pPr>
            <w:r>
              <w:rPr>
                <w:rFonts w:ascii="Aptos" w:cs="Aptos" w:eastAsia="Aptos" w:hAnsi="Aptos"/>
                <w:sz w:val="20"/>
                <w:szCs w:val="20"/>
              </w:rPr>
              <w:t xml:space="preserve">Annually</w:t>
            </w:r>
          </w:p>
        </w:tc>
        <w:tc>
          <w:tcPr>
            <w:tcW w:type="dxa" w:w="216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r>
      <w:tr>
        <w:tc>
          <w:tcPr>
            <w:tcW w:type="dxa" w:w="4900"/>
            <w:tcMar>
              <w:top w:type="dxa" w:w="60"/>
              <w:left w:type="dxa" w:w="110"/>
              <w:bottom w:type="dxa" w:w="60"/>
              <w:right w:type="dxa" w:w="110"/>
            </w:tcMar>
          </w:tcPr>
          <w:p>
            <w:pPr>
              <w:spacing w:after="40" w:before="40"/>
            </w:pPr>
            <w:r>
              <w:rPr>
                <w:rFonts w:ascii="Aptos" w:cs="Aptos" w:eastAsia="Aptos" w:hAnsi="Aptos"/>
                <w:sz w:val="20"/>
                <w:szCs w:val="20"/>
              </w:rPr>
              <w:t xml:space="preserve">A question on the same point when anyone leaves</w:t>
            </w:r>
          </w:p>
        </w:tc>
        <w:tc>
          <w:tcPr>
            <w:tcW w:type="dxa" w:w="2300"/>
            <w:tcMar>
              <w:top w:type="dxa" w:w="60"/>
              <w:left w:type="dxa" w:w="110"/>
              <w:bottom w:type="dxa" w:w="60"/>
              <w:right w:type="dxa" w:w="110"/>
            </w:tcMar>
          </w:tcPr>
          <w:p>
            <w:pPr>
              <w:spacing w:after="40" w:before="40"/>
            </w:pPr>
            <w:r>
              <w:rPr>
                <w:rFonts w:ascii="Aptos" w:cs="Aptos" w:eastAsia="Aptos" w:hAnsi="Aptos"/>
                <w:sz w:val="20"/>
                <w:szCs w:val="20"/>
              </w:rPr>
              <w:t xml:space="preserve">On each departure</w:t>
            </w:r>
          </w:p>
        </w:tc>
        <w:tc>
          <w:tcPr>
            <w:tcW w:type="dxa" w:w="216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r>
      <w:tr>
        <w:tc>
          <w:tcPr>
            <w:tcW w:type="dxa" w:w="4900"/>
            <w:tcMar>
              <w:top w:type="dxa" w:w="60"/>
              <w:left w:type="dxa" w:w="110"/>
              <w:bottom w:type="dxa" w:w="60"/>
              <w:right w:type="dxa" w:w="110"/>
            </w:tcMar>
          </w:tcPr>
          <w:p>
            <w:pPr>
              <w:spacing w:after="40" w:before="40"/>
            </w:pPr>
            <w:r>
              <w:rPr>
                <w:rFonts w:ascii="Aptos" w:cs="Aptos" w:eastAsia="Aptos" w:hAnsi="Aptos"/>
                <w:sz w:val="20"/>
                <w:szCs w:val="20"/>
              </w:rPr>
              <w:t xml:space="preserve">Review of this policy, with version control</w:t>
            </w:r>
          </w:p>
        </w:tc>
        <w:tc>
          <w:tcPr>
            <w:tcW w:type="dxa" w:w="2300"/>
            <w:tcMar>
              <w:top w:type="dxa" w:w="60"/>
              <w:left w:type="dxa" w:w="110"/>
              <w:bottom w:type="dxa" w:w="60"/>
              <w:right w:type="dxa" w:w="110"/>
            </w:tcMar>
          </w:tcPr>
          <w:p>
            <w:pPr>
              <w:spacing w:after="40" w:before="40"/>
            </w:pPr>
            <w:r>
              <w:rPr>
                <w:rFonts w:ascii="Aptos" w:cs="Aptos" w:eastAsia="Aptos" w:hAnsi="Aptos"/>
                <w:sz w:val="20"/>
                <w:szCs w:val="20"/>
              </w:rPr>
              <w:t xml:space="preserve">Annually</w:t>
            </w:r>
          </w:p>
        </w:tc>
        <w:tc>
          <w:tcPr>
            <w:tcW w:type="dxa" w:w="2160"/>
            <w:tcMar>
              <w:top w:type="dxa" w:w="60"/>
              <w:left w:type="dxa" w:w="110"/>
              <w:bottom w:type="dxa" w:w="60"/>
              <w:right w:type="dxa" w:w="110"/>
            </w:tcMar>
          </w:tcPr>
          <w:p>
            <w:pPr>
              <w:spacing w:after="40" w:before="40"/>
            </w:pPr>
            <w:r>
              <w:rPr>
                <w:rFonts w:ascii="Aptos" w:cs="Aptos" w:eastAsia="Aptos" w:hAnsi="Aptos"/>
                <w:sz w:val="20"/>
                <w:szCs w:val="20"/>
              </w:rPr>
              <w:t xml:space="preserve">Managing Director</w:t>
            </w:r>
          </w:p>
        </w:tc>
      </w:tr>
    </w:tbl>
    <w:p>
      <w:pPr>
        <w:spacing w:after="120"/>
      </w:pPr>
    </w:p>
    <w:p>
      <w:pPr>
        <w:spacing w:after="140" w:line="264"/>
      </w:pPr>
      <w:r>
        <w:rPr>
          <w:rFonts w:ascii="Aptos" w:cs="Aptos" w:eastAsia="Aptos" w:hAnsi="Aptos"/>
          <w:color w:val="000000"/>
          <w:sz w:val="22"/>
          <w:szCs w:val="22"/>
        </w:rPr>
        <w:t xml:space="preserve">The annual review question matters more here than a staff survey would. In a business this small an anonymous survey is not anonymous, so we ask directly instead, and we accept that this only works if people believe the answer will be acted on. That belief is earned by what happens the first time someone speaks up.</w:t>
      </w:r>
    </w:p>
    <w:p>
      <w:pPr>
        <w:pStyle w:val="Heading2"/>
        <w:spacing w:after="90" w:before="220"/>
      </w:pPr>
      <w:r>
        <w:rPr>
          <w:rFonts w:ascii="Calibri" w:cs="Calibri" w:eastAsia="Calibri" w:hAnsi="Calibri"/>
          <w:b/>
          <w:bCs/>
          <w:color w:val="002060"/>
          <w:sz w:val="24"/>
          <w:szCs w:val="24"/>
        </w:rPr>
        <w:t xml:space="preserve">6.3 Acting on it</w:t>
      </w:r>
    </w:p>
    <w:p>
      <w:pPr>
        <w:spacing w:after="140" w:line="264"/>
      </w:pPr>
      <w:r>
        <w:rPr>
          <w:rFonts w:ascii="Aptos" w:cs="Aptos" w:eastAsia="Aptos" w:hAnsi="Aptos"/>
          <w:color w:val="000000"/>
          <w:sz w:val="22"/>
          <w:szCs w:val="22"/>
        </w:rPr>
        <w:t xml:space="preserve">Where the review shows a pattern or a gap, the Managing Director decides what changes, write it down with a name and a date against it, and check it at the next review. Anything learned from an incident goes into the risk assessment and into the next annual briefing, without identifying the people involved.</w:t>
      </w:r>
    </w:p>
    <w:p>
      <w:pPr>
        <w:pStyle w:val="Heading2"/>
        <w:spacing w:after="90" w:before="220"/>
      </w:pPr>
      <w:r>
        <w:rPr>
          <w:rFonts w:ascii="Calibri" w:cs="Calibri" w:eastAsia="Calibri" w:hAnsi="Calibri"/>
          <w:b/>
          <w:bCs/>
          <w:color w:val="002060"/>
          <w:sz w:val="24"/>
          <w:szCs w:val="24"/>
        </w:rPr>
        <w:t xml:space="preserve">6.4 Policy review</w:t>
      </w:r>
    </w:p>
    <w:p>
      <w:pPr>
        <w:spacing w:after="140" w:line="264"/>
      </w:pPr>
      <w:r>
        <w:rPr>
          <w:rFonts w:ascii="Aptos" w:cs="Aptos" w:eastAsia="Aptos" w:hAnsi="Aptos"/>
          <w:color w:val="000000"/>
          <w:sz w:val="22"/>
          <w:szCs w:val="22"/>
        </w:rPr>
        <w:t xml:space="preserve">Reviewed once a year by the Managing Director, and sooner if the law changes or after any reported incident. The next review will take account of the regulations expected to define all reasonable steps following the changes in force from 30 ⟦issueMonth⟧. After any revision the policy is re-issued by email and re-acknowledged.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800"/>
        <w:gridCol w:w="5260"/>
      </w:tblGrid>
      <w:tr>
        <w:trPr>
          <w:tblHeader/>
        </w:trPr>
        <w:tc>
          <w:tcPr>
            <w:tcW w:type="dxa" w:w="10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Version</w:t>
            </w:r>
          </w:p>
        </w:tc>
        <w:tc>
          <w:tcPr>
            <w:tcW w:type="dxa" w:w="13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Date</w:t>
            </w:r>
          </w:p>
        </w:tc>
        <w:tc>
          <w:tcPr>
            <w:tcW w:type="dxa" w:w="180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Reviewed by</w:t>
            </w:r>
          </w:p>
        </w:tc>
        <w:tc>
          <w:tcPr>
            <w:tcW w:type="dxa" w:w="5260"/>
            <w:shd w:fill="1B1B1B" w:color="auto" w:val="clear"/>
            <w:tcMar>
              <w:top w:type="dxa" w:w="60"/>
              <w:left w:type="dxa" w:w="110"/>
              <w:bottom w:type="dxa" w:w="60"/>
              <w:right w:type="dxa" w:w="110"/>
            </w:tcMar>
          </w:tcPr>
          <w:p>
            <w:pPr>
              <w:spacing w:after="40" w:before="40"/>
            </w:pPr>
            <w:r>
              <w:rPr>
                <w:rFonts w:ascii="Aptos" w:cs="Aptos" w:eastAsia="Aptos" w:hAnsi="Aptos"/>
                <w:b/>
                <w:bCs/>
                <w:color w:val="FFFFFF"/>
                <w:sz w:val="20"/>
                <w:szCs w:val="20"/>
              </w:rPr>
              <w:t xml:space="preserve">Summary of change</w:t>
            </w:r>
          </w:p>
        </w:tc>
      </w:tr>
      <w:tr>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1.0</w:t>
            </w:r>
          </w:p>
        </w:tc>
        <w:tc>
          <w:tcPr>
            <w:tcW w:type="dxa" w:w="1300"/>
            <w:tcMar>
              <w:top w:type="dxa" w:w="60"/>
              <w:left w:type="dxa" w:w="110"/>
              <w:bottom w:type="dxa" w:w="60"/>
              <w:right w:type="dxa" w:w="110"/>
            </w:tcMar>
          </w:tcPr>
          <w:p>
            <w:pPr>
              <w:spacing w:after="40" w:before="40"/>
            </w:pPr>
            <w:commentRangeStart w:id="4"/>
            <w:r>
              <w:rPr>
                <w:rFonts w:ascii="Aptos" w:cs="Aptos" w:eastAsia="Aptos" w:hAnsi="Aptos"/>
                <w:sz w:val="20"/>
                <w:szCs w:val="20"/>
                <w:highlight w:val="yellow"/>
              </w:rPr>
              <w:t xml:space="preserve">August 2026</w:t>
            </w:r>
            <w:commentRangeEnd w:id="4"/>
            <w:r>
              <w:commentReference w:id="4"/>
            </w:r>
          </w:p>
        </w:tc>
        <w:tc>
          <w:tcPr>
            <w:tcW w:type="dxa" w:w="1800"/>
            <w:tcMar>
              <w:top w:type="dxa" w:w="60"/>
              <w:left w:type="dxa" w:w="110"/>
              <w:bottom w:type="dxa" w:w="60"/>
              <w:right w:type="dxa" w:w="110"/>
            </w:tcMar>
          </w:tcPr>
          <w:p>
            <w:pPr>
              <w:spacing w:after="40" w:before="40"/>
            </w:pPr>
            <w:r>
              <w:rPr>
                <w:rFonts w:ascii="Aptos" w:cs="Aptos" w:eastAsia="Aptos" w:hAnsi="Aptos"/>
                <w:sz w:val="20"/>
                <w:szCs w:val="20"/>
              </w:rPr>
              <w:t xml:space="preserve">Simon Archer</w:t>
            </w:r>
          </w:p>
        </w:tc>
        <w:tc>
          <w:tcPr>
            <w:tcW w:type="dxa" w:w="5260"/>
            <w:tcMar>
              <w:top w:type="dxa" w:w="60"/>
              <w:left w:type="dxa" w:w="110"/>
              <w:bottom w:type="dxa" w:w="60"/>
              <w:right w:type="dxa" w:w="110"/>
            </w:tcMar>
          </w:tcPr>
          <w:p>
            <w:pPr>
              <w:spacing w:after="40" w:before="40"/>
            </w:pPr>
            <w:r>
              <w:rPr>
                <w:rFonts w:ascii="Aptos" w:cs="Aptos" w:eastAsia="Aptos" w:hAnsi="Aptos"/>
                <w:sz w:val="20"/>
                <w:szCs w:val="20"/>
              </w:rPr>
              <w:t xml:space="preserve">First issue as a standalone policy, replacing reliance on the general Harassment and Bullying Policy</w:t>
            </w:r>
          </w:p>
        </w:tc>
      </w:tr>
      <w:tr>
        <w:tc>
          <w:tcPr>
            <w:tcW w:type="dxa" w:w="10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3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1800"/>
            <w:tcMar>
              <w:top w:type="dxa" w:w="60"/>
              <w:left w:type="dxa" w:w="110"/>
              <w:bottom w:type="dxa" w:w="60"/>
              <w:right w:type="dxa" w:w="110"/>
            </w:tcMar>
          </w:tcPr>
          <w:p>
            <w:pPr>
              <w:spacing w:after="40" w:before="40"/>
            </w:pPr>
            <w:r>
              <w:rPr>
                <w:rFonts w:ascii="Aptos" w:cs="Aptos" w:eastAsia="Aptos" w:hAnsi="Aptos"/>
                <w:sz w:val="20"/>
                <w:szCs w:val="20"/>
              </w:rPr>
              <w:t xml:space="preserve"/>
            </w:r>
          </w:p>
        </w:tc>
        <w:tc>
          <w:tcPr>
            <w:tcW w:type="dxa" w:w="5260"/>
            <w:tcMar>
              <w:top w:type="dxa" w:w="60"/>
              <w:left w:type="dxa" w:w="110"/>
              <w:bottom w:type="dxa" w:w="60"/>
              <w:right w:type="dxa" w:w="110"/>
            </w:tcMar>
          </w:tcPr>
          <w:p>
            <w:pPr>
              <w:spacing w:after="40" w:before="40"/>
            </w:pPr>
            <w:r>
              <w:rPr>
                <w:rFonts w:ascii="Aptos" w:cs="Aptos" w:eastAsia="Aptos" w:hAnsi="Aptos"/>
                <w:sz w:val="20"/>
                <w:szCs w:val="20"/>
              </w:rPr>
              <w:t xml:space="preserve"/>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This was written for a security systems design consultancy. Check it fits ⟦specialism⟧ and rewrite it where it does not.</w:t>
      </w:r>
    </w:p>
  </w:comment>
  <w:comment w:id="4"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after="0" w:before="120"/>
      <w:jc w:val="center"/>
    </w:pPr>
    <w:r>
      <w:rPr>
        <w:rFonts w:ascii="Helvetica" w:cs="Helvetica" w:eastAsia="Helvetica" w:hAnsi="Helvetica"/>
        <w:sz w:val="14"/>
        <w:szCs w:val="14"/>
      </w:rPr>
      <w:t xml:space="preserve">Registered Office: ⟦address⟧</w:t>
    </w:r>
  </w:p>
  <w:p>
    <w:pPr>
      <w:jc w:val="center"/>
    </w:pPr>
    <w:r>
      <w:rPr>
        <w:rFonts w:ascii="Calibri" w:cs="Calibri" w:eastAsia="Calibri" w:hAnsi="Calibri"/>
        <w:sz w:val="14"/>
        <w:szCs w:val="14"/>
      </w:rPr>
      <w:t xml:space="preserve">Company number: ⟦companyNo⟧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ptos" w:cs="Aptos" w:eastAsia="Aptos" w:hAnsi="Aptos"/>
        <w:sz w:val="22"/>
        <w:szCs w:val="22"/>
      </w:rPr>
    </w:lvl>
    <w:lvl w:ilvl="1" w15:tentative="1">
      <w:start w:val="1"/>
      <w:numFmt w:val="bullet"/>
      <w:lvlText w:val="–"/>
      <w:lvlJc w:val="left"/>
      <w:pPr>
        <w:ind w:left="920" w:hanging="240"/>
      </w:pPr>
      <w:rPr>
        <w:rFonts w:ascii="Aptos" w:cs="Aptos" w:eastAsia="Aptos" w:hAnsi="Apto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ptos Black" w:cs="Aptos Black" w:eastAsia="Aptos Black" w:hAnsi="Aptos Black"/>
      <w:b/>
      <w:bCs/>
      <w:color w:val="E3DE00"/>
      <w:sz w:val="32"/>
      <w:szCs w:val="32"/>
    </w:rPr>
  </w:style>
  <w:style w:type="paragraph" w:styleId="Heading2">
    <w:name w:val="Heading 2"/>
    <w:basedOn w:val="Normal"/>
    <w:next w:val="Normal"/>
    <w:qFormat/>
    <w:rPr>
      <w:rFonts w:ascii="Calibri" w:cs="Calibri" w:eastAsia="Calibri" w:hAnsi="Calibri"/>
      <w:b/>
      <w:bCs/>
      <w:color w:val="002060"/>
      <w:sz w:val="24"/>
      <w:szCs w:val="24"/>
    </w:rPr>
  </w:style>
  <w:style w:type="paragraph" w:styleId="Heading3">
    <w:name w:val="Heading 3"/>
    <w:basedOn w:val="Normal"/>
    <w:next w:val="Normal"/>
    <w:qFormat/>
    <w:rPr>
      <w:rFonts w:ascii="Calibri" w:cs="Calibri" w:eastAsia="Calibri" w:hAnsi="Calibri"/>
      <w:b/>
      <w:bCs/>
      <w:color w:val="002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66a9ed7a9db097255072182a00c6bb9ae9a5e240.png"/><Relationship Id="rId9" Type="http://schemas.openxmlformats.org/officeDocument/2006/relationships/image" Target="media/d00fe7aa5f23116cc21499fe913d02e20ff6dce6.png"/><Relationship Id="rId10"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Sexual Harassment Prevention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