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footer+xml" PartName="/word/footer1.xml"/>
  <Override PartName="/word/comments.xml" ContentType="application/vnd.openxmlformats-officedocument.wordprocessingml.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400"/>
        <w:jc w:val="center"/>
      </w:pPr>
      <w:r>
        <w:drawing>
          <wp:inline distT="0" distB="0" distL="0" distR="0">
            <wp:extent cx="3238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2943225"/>
                    </a:xfrm>
                    <a:prstGeom prst="rect">
                      <a:avLst/>
                    </a:prstGeom>
                  </pic:spPr>
                </pic:pic>
              </a:graphicData>
            </a:graphic>
          </wp:inline>
        </w:drawing>
      </w:r>
    </w:p>
    <w:p>
      <w:pPr>
        <w:spacing w:after="700"/>
        <w:jc w:val="center"/>
      </w:pPr>
      <w:r>
        <w:rPr>
          <w:rFonts w:ascii="Aptos Black" w:cs="Aptos Black" w:eastAsia="Aptos Black" w:hAnsi="Aptos Black"/>
          <w:b/>
          <w:bCs/>
          <w:color w:val="000000"/>
          <w:sz w:val="34"/>
          <w:szCs w:val="34"/>
        </w:rPr>
        <w:t xml:space="preserve">SEXUAL HARASSMENT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Mar>
              <w:top w:type="dxa" w:w="60"/>
              <w:left w:type="dxa" w:w="110"/>
              <w:bottom w:type="dxa" w:w="60"/>
              <w:right w:type="dxa" w:w="110"/>
            </w:tcMar>
          </w:tcPr>
          <w:p>
            <w:pPr>
              <w:spacing w:after="40" w:before="40"/>
            </w:pPr>
            <w:r>
              <w:rPr>
                <w:rFonts w:ascii="Aptos" w:cs="Aptos" w:eastAsia="Aptos" w:hAnsi="Aptos"/>
                <w:b/>
                <w:bCs/>
                <w:sz w:val="22"/>
                <w:szCs w:val="22"/>
              </w:rPr>
              <w:t xml:space="preserve">Date</w:t>
            </w:r>
          </w:p>
        </w:tc>
        <w:tc>
          <w:tcPr>
            <w:tcW w:type="dxa" w:w="4680"/>
            <w:tcMar>
              <w:top w:type="dxa" w:w="60"/>
              <w:left w:type="dxa" w:w="110"/>
              <w:bottom w:type="dxa" w:w="60"/>
              <w:right w:type="dxa" w:w="110"/>
            </w:tcMar>
          </w:tcPr>
          <w:p>
            <w:pPr>
              <w:spacing w:after="40" w:before="40"/>
            </w:pPr>
            <w:r>
              <w:rPr>
                <w:rFonts w:ascii="Aptos" w:cs="Aptos" w:eastAsia="Aptos" w:hAnsi="Aptos"/>
                <w:sz w:val="22"/>
                <w:szCs w:val="22"/>
              </w:rPr>
              <w:t xml:space="preserve">⟦issueMonth⟧</w:t>
            </w:r>
          </w:p>
        </w:tc>
      </w:tr>
      <w:tr>
        <w:tc>
          <w:tcPr>
            <w:tcW w:type="dxa" w:w="4680"/>
            <w:tcMar>
              <w:top w:type="dxa" w:w="60"/>
              <w:left w:type="dxa" w:w="110"/>
              <w:bottom w:type="dxa" w:w="60"/>
              <w:right w:type="dxa" w:w="110"/>
            </w:tcMar>
          </w:tcPr>
          <w:p>
            <w:pPr>
              <w:spacing w:after="40" w:before="40"/>
            </w:pPr>
            <w:r>
              <w:rPr>
                <w:rFonts w:ascii="Aptos" w:cs="Aptos" w:eastAsia="Aptos" w:hAnsi="Aptos"/>
                <w:b/>
                <w:bCs/>
                <w:sz w:val="22"/>
                <w:szCs w:val="22"/>
              </w:rPr>
              <w:t xml:space="preserve">Author</w:t>
            </w:r>
          </w:p>
        </w:tc>
        <w:tc>
          <w:tcPr>
            <w:tcW w:type="dxa" w:w="4680"/>
            <w:tcMar>
              <w:top w:type="dxa" w:w="60"/>
              <w:left w:type="dxa" w:w="110"/>
              <w:bottom w:type="dxa" w:w="60"/>
              <w:right w:type="dxa" w:w="110"/>
            </w:tcMar>
          </w:tcPr>
          <w:p>
            <w:pPr>
              <w:spacing w:after="40" w:before="40"/>
            </w:pPr>
            <w:r>
              <w:rPr>
                <w:rFonts w:ascii="Aptos" w:cs="Aptos" w:eastAsia="Aptos" w:hAnsi="Aptos"/>
                <w:sz w:val="22"/>
                <w:szCs w:val="22"/>
              </w:rPr>
              <w:t xml:space="preserve">Simon Archer (Archer Health &amp; Safety)</w:t>
            </w:r>
          </w:p>
        </w:tc>
      </w:tr>
      <w:tr>
        <w:tc>
          <w:tcPr>
            <w:tcW w:type="dxa" w:w="4680"/>
            <w:tcMar>
              <w:top w:type="dxa" w:w="60"/>
              <w:left w:type="dxa" w:w="110"/>
              <w:bottom w:type="dxa" w:w="60"/>
              <w:right w:type="dxa" w:w="110"/>
            </w:tcMar>
          </w:tcPr>
          <w:p>
            <w:pPr>
              <w:spacing w:after="40" w:before="40"/>
            </w:pPr>
            <w:r>
              <w:rPr>
                <w:rFonts w:ascii="Aptos" w:cs="Aptos" w:eastAsia="Aptos" w:hAnsi="Aptos"/>
                <w:b/>
                <w:bCs/>
                <w:sz w:val="22"/>
                <w:szCs w:val="22"/>
              </w:rPr>
              <w:t xml:space="preserve">Review Date</w:t>
            </w:r>
          </w:p>
        </w:tc>
        <w:tc>
          <w:tcPr>
            <w:tcW w:type="dxa" w:w="4680"/>
            <w:tcMar>
              <w:top w:type="dxa" w:w="60"/>
              <w:left w:type="dxa" w:w="110"/>
              <w:bottom w:type="dxa" w:w="60"/>
              <w:right w:type="dxa" w:w="110"/>
            </w:tcMar>
          </w:tcPr>
          <w:p>
            <w:pPr>
              <w:spacing w:after="40" w:before="40"/>
            </w:pPr>
            <w:r>
              <w:rPr>
                <w:rFonts w:ascii="Aptos" w:cs="Aptos" w:eastAsia="Aptos" w:hAnsi="Aptos"/>
                <w:sz w:val="22"/>
                <w:szCs w:val="22"/>
              </w:rPr>
              <w:t xml:space="preserve">⟦reviewMonth⟧</w:t>
            </w:r>
          </w:p>
        </w:tc>
      </w:tr>
    </w:tbl>
    <w:p>
      <w:pPr>
        <w:spacing w:after="1400"/>
      </w:pPr>
    </w:p>
    <w:p>
      <w:pPr>
        <w:spacing w:after="200"/>
        <w:jc w:val="center"/>
      </w:pPr>
      <w:r>
        <w:drawing>
          <wp:inline distT="0" distB="0" distL="0" distR="0">
            <wp:extent cx="514350" cy="46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 cy="466725"/>
                    </a:xfrm>
                    <a:prstGeom prst="rect">
                      <a:avLst/>
                    </a:prstGeom>
                  </pic:spPr>
                </pic:pic>
              </a:graphicData>
            </a:graphic>
          </wp:inline>
        </w:drawing>
      </w:r>
    </w:p>
    <w:p>
      <w:pPr>
        <w:shd w:fill="1B1B1B" w:color="auto" w:val="clear"/>
        <w:spacing w:after="200" w:before="200"/>
        <w:jc w:val="center"/>
      </w:pPr>
      <w:r>
        <w:rPr>
          <w:rFonts w:ascii="Aptos" w:cs="Aptos" w:eastAsia="Aptos" w:hAnsi="Aptos"/>
          <w:color w:val="FFFFFF"/>
          <w:sz w:val="22"/>
          <w:szCs w:val="22"/>
        </w:rPr>
        <w:t xml:space="preserve">⟦legalName⟧</w:t>
      </w:r>
    </w:p>
    <w:p>
      <w:r>
        <w:br w:type="page"/>
      </w:r>
    </w:p>
    <w:p>
      <w:pPr>
        <w:pStyle w:val="Heading1"/>
        <w:spacing w:after="120" w:before="320"/>
      </w:pPr>
      <w:r>
        <w:rPr>
          <w:rFonts w:ascii="Aptos Black" w:cs="Aptos Black" w:eastAsia="Aptos Black" w:hAnsi="Aptos Black"/>
          <w:b/>
          <w:bCs/>
          <w:color w:val="E3DE00"/>
          <w:sz w:val="32"/>
          <w:szCs w:val="32"/>
        </w:rPr>
        <w:t xml:space="preserve">SECTION 1: PURPOSE AND METHOD</w:t>
      </w:r>
    </w:p>
    <w:p>
      <w:pPr>
        <w:spacing w:after="140" w:line="264"/>
      </w:pPr>
      <w:r>
        <w:rPr>
          <w:rFonts w:ascii="Aptos" w:cs="Aptos" w:eastAsia="Aptos" w:hAnsi="Aptos"/>
          <w:color w:val="000000"/>
          <w:sz w:val="22"/>
          <w:szCs w:val="22"/>
        </w:rPr>
        <w:t xml:space="preserve">Section 40A of the Equality Act 2010 requires ⟦legalName⟧ (⟦short⟧) to take reasonable steps to prevent the sexual harassment of its employees. From 30 ⟦issueMonth⟧ that duty rises to all reasonable steps, and employers become directly liable for third-party harassment of their workers. A written risk assessment is how an employer shows it has thought about where harassment could happen and acted before anyone was harmed.</w:t>
      </w:r>
    </w:p>
    <w:p>
      <w:pPr>
        <w:spacing w:after="140" w:line="264"/>
      </w:pPr>
      <w:r>
        <w:rPr>
          <w:rFonts w:ascii="Aptos" w:cs="Aptos" w:eastAsia="Aptos" w:hAnsi="Aptos"/>
          <w:color w:val="000000"/>
          <w:sz w:val="22"/>
          <w:szCs w:val="22"/>
        </w:rPr>
        <w:t xml:space="preserve">This assessment is Appendix A to the Company's Sexual Harassment Prevention Policy and Arrangements. It works through the situations our people are actually in. Several factors that would appear in a risk assessment for a larger or site-based business are not present here, and where that is the case it is recorded as not applicable rather than left out, so it is clear the question was asked.</w:t>
      </w:r>
    </w:p>
    <w:p>
      <w:pPr>
        <w:pStyle w:val="Heading2"/>
        <w:spacing w:after="90" w:before="220"/>
      </w:pPr>
      <w:r>
        <w:rPr>
          <w:rFonts w:ascii="Calibri" w:cs="Calibri" w:eastAsia="Calibri" w:hAnsi="Calibri"/>
          <w:b/>
          <w:bCs/>
          <w:color w:val="002060"/>
          <w:sz w:val="24"/>
          <w:szCs w:val="24"/>
        </w:rPr>
        <w:t xml:space="preserve">The business being assessed</w:t>
      </w:r>
    </w:p>
    <w:p>
      <w:pPr>
        <w:spacing w:after="140" w:line="264"/>
      </w:pPr>
      <w:commentRangeStart w:id="1"/>
      <w:r>
        <w:rPr>
          <w:rFonts w:ascii="Aptos" w:cs="Aptos" w:eastAsia="Aptos" w:hAnsi="Aptos"/>
          <w:color w:val="000000"/>
          <w:sz w:val="22"/>
          <w:szCs w:val="22"/>
          <w:highlight w:val="yellow"/>
        </w:rPr>
        <w:t xml:space="preserve">⟦short⟧ is a security systems design consultancy. It is a small, owner-managed business in which the Managing Director is part of the working team rather than a layer above it. The team works primarily remotely and meets online. The work is desk-based design, specification and advisory work for UK clients. Site attendance is limited to occasional surveys, arranged in advance and carried out under escort by the client. People are employed directly on PAYE and no subcontractors, agency workers or associates are engaged. Current headcount and structure are recorded in the Organisation and Scope Statement.</w:t>
      </w:r>
      <w:commentRangeEnd w:id="1"/>
      <w:r>
        <w:commentReference w:id="1"/>
      </w:r>
    </w:p>
    <w:p>
      <w:pPr>
        <w:spacing w:after="140" w:line="264"/>
      </w:pPr>
      <w:r>
        <w:rPr>
          <w:rFonts w:ascii="Aptos" w:cs="Aptos" w:eastAsia="Aptos" w:hAnsi="Aptos"/>
          <w:color w:val="000000"/>
          <w:sz w:val="22"/>
          <w:szCs w:val="22"/>
        </w:rPr>
        <w:t xml:space="preserve">Two features of that shape the whole assessment. Most day-to-day contact between colleagues happens through screens rather than in a room, so digital conduct carries risk that would sit elsewhere in an office-based firm. And because the Managing Director is part of the working team, anyone raising a concern is raising it against or very close to the top of the organisation, which is why the external route is treated as a primary control rather than a backstop.</w:t>
      </w:r>
    </w:p>
    <w:p>
      <w:pPr>
        <w:spacing w:after="100"/>
      </w:pP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000"/>
        <w:gridCol w:w="6100"/>
      </w:tblGrid>
      <w:tr>
        <w:trPr>
          <w:tblHeader/>
        </w:trPr>
        <w:tc>
          <w:tcPr>
            <w:tcW w:type="dxa" w:w="260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18"/>
                <w:szCs w:val="18"/>
              </w:rPr>
              <w:t xml:space="preserve">Reference</w:t>
            </w:r>
          </w:p>
        </w:tc>
        <w:tc>
          <w:tcPr>
            <w:tcW w:type="dxa" w:w="390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18"/>
                <w:szCs w:val="18"/>
              </w:rPr>
              <w:t xml:space="preserve">Assessed by</w:t>
            </w:r>
          </w:p>
        </w:tc>
        <w:tc>
          <w:tcPr>
            <w:tcW w:type="dxa" w:w="200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18"/>
                <w:szCs w:val="18"/>
              </w:rPr>
              <w:t xml:space="preserve">Date</w:t>
            </w:r>
          </w:p>
        </w:tc>
        <w:tc>
          <w:tcPr>
            <w:tcW w:type="dxa" w:w="610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18"/>
                <w:szCs w:val="18"/>
              </w:rPr>
              <w:t xml:space="preserve">Next review</w:t>
            </w:r>
          </w:p>
        </w:tc>
      </w:tr>
      <w:tr>
        <w:tc>
          <w:tcPr>
            <w:tcW w:type="dxa" w:w="2600"/>
            <w:tcMar>
              <w:top w:type="dxa" w:w="60"/>
              <w:left w:type="dxa" w:w="110"/>
              <w:bottom w:type="dxa" w:w="60"/>
              <w:right w:type="dxa" w:w="110"/>
            </w:tcMar>
          </w:tcPr>
          <w:p>
            <w:pPr>
              <w:spacing w:after="40" w:before="40"/>
            </w:pPr>
            <w:r>
              <w:rPr>
                <w:rFonts w:ascii="Aptos" w:cs="Aptos" w:eastAsia="Aptos" w:hAnsi="Aptos"/>
                <w:sz w:val="18"/>
                <w:szCs w:val="18"/>
              </w:rPr>
              <w:t xml:space="preserve">⟦short⟧-SHRA-01</w:t>
            </w:r>
          </w:p>
        </w:tc>
        <w:tc>
          <w:tcPr>
            <w:tcW w:type="dxa" w:w="3900"/>
            <w:tcMar>
              <w:top w:type="dxa" w:w="60"/>
              <w:left w:type="dxa" w:w="110"/>
              <w:bottom w:type="dxa" w:w="60"/>
              <w:right w:type="dxa" w:w="110"/>
            </w:tcMar>
          </w:tcPr>
          <w:p>
            <w:pPr>
              <w:spacing w:after="40" w:before="40"/>
            </w:pPr>
            <w:r>
              <w:rPr>
                <w:rFonts w:ascii="Aptos" w:cs="Aptos" w:eastAsia="Aptos" w:hAnsi="Aptos"/>
                <w:sz w:val="18"/>
                <w:szCs w:val="18"/>
              </w:rPr>
              <w:t xml:space="preserve">Simon Archer (Archer Health &amp; Safety)</w:t>
            </w:r>
          </w:p>
        </w:tc>
        <w:tc>
          <w:tcPr>
            <w:tcW w:type="dxa" w:w="2000"/>
            <w:tcMar>
              <w:top w:type="dxa" w:w="60"/>
              <w:left w:type="dxa" w:w="110"/>
              <w:bottom w:type="dxa" w:w="60"/>
              <w:right w:type="dxa" w:w="110"/>
            </w:tcMar>
          </w:tcPr>
          <w:p>
            <w:pPr>
              <w:spacing w:after="40" w:before="40"/>
            </w:pPr>
            <w:commentRangeStart w:id="2"/>
            <w:r>
              <w:rPr>
                <w:rFonts w:ascii="Aptos" w:cs="Aptos" w:eastAsia="Aptos" w:hAnsi="Aptos"/>
                <w:sz w:val="18"/>
                <w:szCs w:val="18"/>
                <w:highlight w:val="yellow"/>
              </w:rPr>
              <w:t xml:space="preserve">August 2026</w:t>
            </w:r>
            <w:commentRangeEnd w:id="2"/>
            <w:r>
              <w:commentReference w:id="2"/>
            </w:r>
          </w:p>
        </w:tc>
        <w:tc>
          <w:tcPr>
            <w:tcW w:type="dxa" w:w="6100"/>
            <w:tcMar>
              <w:top w:type="dxa" w:w="60"/>
              <w:left w:type="dxa" w:w="110"/>
              <w:bottom w:type="dxa" w:w="60"/>
              <w:right w:type="dxa" w:w="110"/>
            </w:tcMar>
          </w:tcPr>
          <w:p>
            <w:pPr>
              <w:spacing w:after="40" w:before="40"/>
            </w:pPr>
            <w:commentRangeStart w:id="3"/>
            <w:r>
              <w:rPr>
                <w:rFonts w:ascii="Aptos" w:cs="Aptos" w:eastAsia="Aptos" w:hAnsi="Aptos"/>
                <w:sz w:val="18"/>
                <w:szCs w:val="18"/>
                <w:highlight w:val="yellow"/>
              </w:rPr>
              <w:t xml:space="preserve">August 2027, or sooner after any reported incident or any change to the team, the client base or the way we work</w:t>
            </w:r>
            <w:commentRangeEnd w:id="3"/>
            <w:r>
              <w:commentReference w:id="3"/>
            </w:r>
          </w:p>
        </w:tc>
      </w:tr>
    </w:tbl>
    <w:p>
      <w:pPr>
        <w:spacing w:after="140"/>
      </w:pPr>
    </w:p>
    <w:p>
      <w:pPr>
        <w:pStyle w:val="Heading2"/>
        <w:spacing w:after="90" w:before="220"/>
      </w:pPr>
      <w:r>
        <w:rPr>
          <w:rFonts w:ascii="Calibri" w:cs="Calibri" w:eastAsia="Calibri" w:hAnsi="Calibri"/>
          <w:b/>
          <w:bCs/>
          <w:color w:val="002060"/>
          <w:sz w:val="24"/>
          <w:szCs w:val="24"/>
        </w:rPr>
        <w:t xml:space="preserve">Ratings used</w:t>
      </w:r>
    </w:p>
    <w:p>
      <w:pPr>
        <w:spacing w:after="140" w:line="264"/>
      </w:pPr>
      <w:r>
        <w:rPr>
          <w:rFonts w:ascii="Aptos" w:cs="Aptos" w:eastAsia="Aptos" w:hAnsi="Aptos"/>
          <w:color w:val="000000"/>
          <w:sz w:val="20"/>
          <w:szCs w:val="20"/>
        </w:rPr>
        <w:t xml:space="preserve">Low: the factor is present but limited, and existing controls are sufficient. Medium: a recognised risk factor is present and the controls need active attention. High: a significant factor is present and needs specific, named controls. N/A: the factor does not arise in this business, and the reason is stated.</w:t>
      </w:r>
    </w:p>
    <w:p>
      <w:r>
        <w:br w:type="page"/>
      </w:r>
    </w:p>
    <w:p>
      <w:pPr>
        <w:pStyle w:val="Heading1"/>
        <w:spacing w:after="120" w:before="320"/>
      </w:pPr>
      <w:r>
        <w:rPr>
          <w:rFonts w:ascii="Aptos Black" w:cs="Aptos Black" w:eastAsia="Aptos Black" w:hAnsi="Aptos Black"/>
          <w:b/>
          <w:bCs/>
          <w:color w:val="E3DE00"/>
          <w:sz w:val="32"/>
          <w:szCs w:val="32"/>
        </w:rPr>
        <w:t xml:space="preserve">SECTION 2: RISK ASSESSMENT</w:t>
      </w: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800"/>
        <w:gridCol w:w="5300"/>
        <w:gridCol w:w="2600"/>
      </w:tblGrid>
      <w:tr>
        <w:trPr>
          <w:tblHeader/>
        </w:trPr>
        <w:tc>
          <w:tcPr>
            <w:tcW w:type="dxa" w:w="220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16"/>
                <w:szCs w:val="16"/>
              </w:rPr>
              <w:t xml:space="preserve">Factor</w:t>
            </w:r>
          </w:p>
        </w:tc>
        <w:tc>
          <w:tcPr>
            <w:tcW w:type="dxa" w:w="370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16"/>
                <w:szCs w:val="16"/>
              </w:rPr>
              <w:t xml:space="preserve">How it could arise here</w:t>
            </w:r>
          </w:p>
        </w:tc>
        <w:tc>
          <w:tcPr>
            <w:tcW w:type="dxa" w:w="80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16"/>
                <w:szCs w:val="16"/>
              </w:rPr>
              <w:t xml:space="preserve">Rating</w:t>
            </w:r>
          </w:p>
        </w:tc>
        <w:tc>
          <w:tcPr>
            <w:tcW w:type="dxa" w:w="530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16"/>
                <w:szCs w:val="16"/>
              </w:rPr>
              <w:t xml:space="preserve">Controls in place</w:t>
            </w:r>
          </w:p>
        </w:tc>
        <w:tc>
          <w:tcPr>
            <w:tcW w:type="dxa" w:w="260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16"/>
                <w:szCs w:val="16"/>
              </w:rPr>
              <w:t xml:space="preserve">Further action</w:t>
            </w:r>
          </w:p>
        </w:tc>
      </w:tr>
      <w:tr>
        <w:tc>
          <w:tcPr>
            <w:tcW w:type="dxa" w:w="2200"/>
            <w:tcMar>
              <w:top w:type="dxa" w:w="60"/>
              <w:left w:type="dxa" w:w="110"/>
              <w:bottom w:type="dxa" w:w="60"/>
              <w:right w:type="dxa" w:w="110"/>
            </w:tcMar>
          </w:tcPr>
          <w:p>
            <w:pPr>
              <w:spacing w:after="40" w:before="40"/>
            </w:pPr>
            <w:r>
              <w:rPr>
                <w:rFonts w:ascii="Aptos" w:cs="Aptos" w:eastAsia="Aptos" w:hAnsi="Aptos"/>
                <w:sz w:val="16"/>
                <w:szCs w:val="16"/>
              </w:rPr>
              <w:t xml:space="preserve">The Managing Director is part of the working team</w:t>
            </w:r>
          </w:p>
        </w:tc>
        <w:tc>
          <w:tcPr>
            <w:tcW w:type="dxa" w:w="3700"/>
            <w:tcMar>
              <w:top w:type="dxa" w:w="60"/>
              <w:left w:type="dxa" w:w="110"/>
              <w:bottom w:type="dxa" w:w="60"/>
              <w:right w:type="dxa" w:w="110"/>
            </w:tcMar>
          </w:tcPr>
          <w:p>
            <w:pPr>
              <w:spacing w:after="40" w:before="40"/>
            </w:pPr>
            <w:commentRangeStart w:id="4"/>
            <w:r>
              <w:rPr>
                <w:rFonts w:ascii="Aptos" w:cs="Aptos" w:eastAsia="Aptos" w:hAnsi="Aptos"/>
                <w:sz w:val="16"/>
                <w:szCs w:val="16"/>
                <w:highlight w:val="yellow"/>
              </w:rPr>
              <w:t xml:space="preserve">An employee harassed by the Managing Director has nowhere internal to go, because he is the sole Director. Fear of losing the job in a business this small is a powerful reason to say nothing</w:t>
            </w:r>
            <w:commentRangeEnd w:id="4"/>
            <w:r>
              <w:commentReference w:id="4"/>
            </w:r>
          </w:p>
        </w:tc>
        <w:tc>
          <w:tcPr>
            <w:tcW w:type="dxa" w:w="800"/>
            <w:tcMar>
              <w:top w:type="dxa" w:w="60"/>
              <w:left w:type="dxa" w:w="110"/>
              <w:bottom w:type="dxa" w:w="60"/>
              <w:right w:type="dxa" w:w="110"/>
            </w:tcMar>
          </w:tcPr>
          <w:p>
            <w:pPr>
              <w:spacing w:after="40" w:before="40"/>
            </w:pPr>
            <w:r>
              <w:rPr>
                <w:rFonts w:ascii="Aptos" w:cs="Aptos" w:eastAsia="Aptos" w:hAnsi="Aptos"/>
                <w:sz w:val="16"/>
                <w:szCs w:val="16"/>
              </w:rPr>
              <w:t xml:space="preserve">High</w:t>
            </w:r>
          </w:p>
        </w:tc>
        <w:tc>
          <w:tcPr>
            <w:tcW w:type="dxa" w:w="5300"/>
            <w:tcMar>
              <w:top w:type="dxa" w:w="60"/>
              <w:left w:type="dxa" w:w="110"/>
              <w:bottom w:type="dxa" w:w="60"/>
              <w:right w:type="dxa" w:w="110"/>
            </w:tcMar>
          </w:tcPr>
          <w:p>
            <w:pPr>
              <w:spacing w:after="40" w:before="40"/>
            </w:pPr>
            <w:r>
              <w:rPr>
                <w:rFonts w:ascii="Aptos" w:cs="Aptos" w:eastAsia="Aptos" w:hAnsi="Aptos"/>
                <w:sz w:val="16"/>
                <w:szCs w:val="16"/>
              </w:rPr>
              <w:t xml:space="preserve">Policy names an external route (Protect, ACAS, EASS, police) as a primary option, not a last resort, with phone numbers on a one-page card issued to everyone. Independent investigator from outside, chosen at the time, appointed as the normal answer where the Managing Director is involved or conflicted, and the Managing Director has accepted the cost of this in advance. Written no-detriment guarantee. Anonymous reports accepted</w:t>
            </w:r>
          </w:p>
        </w:tc>
        <w:tc>
          <w:tcPr>
            <w:tcW w:type="dxa" w:w="2600"/>
            <w:tcMar>
              <w:top w:type="dxa" w:w="60"/>
              <w:left w:type="dxa" w:w="110"/>
              <w:bottom w:type="dxa" w:w="60"/>
              <w:right w:type="dxa" w:w="110"/>
            </w:tcMar>
          </w:tcPr>
          <w:p>
            <w:pPr>
              <w:spacing w:after="40" w:before="40"/>
            </w:pPr>
            <w:r>
              <w:rPr>
                <w:rFonts w:ascii="Aptos" w:cs="Aptos" w:eastAsia="Aptos" w:hAnsi="Aptos"/>
                <w:sz w:val="16"/>
                <w:szCs w:val="16"/>
              </w:rPr>
              <w:t xml:space="preserve">Record that concerns involving the Managing Director go to ACAS or Protect, and that an independent investigator is appointed at the time if one is needed, so the decision is not being made for the first time during a live complaint</w:t>
            </w:r>
          </w:p>
        </w:tc>
      </w:tr>
      <w:tr>
        <w:tc>
          <w:tcPr>
            <w:tcW w:type="dxa" w:w="2200"/>
            <w:tcMar>
              <w:top w:type="dxa" w:w="60"/>
              <w:left w:type="dxa" w:w="110"/>
              <w:bottom w:type="dxa" w:w="60"/>
              <w:right w:type="dxa" w:w="110"/>
            </w:tcMar>
          </w:tcPr>
          <w:p>
            <w:pPr>
              <w:spacing w:after="40" w:before="40"/>
            </w:pPr>
            <w:r>
              <w:rPr>
                <w:rFonts w:ascii="Aptos" w:cs="Aptos" w:eastAsia="Aptos" w:hAnsi="Aptos"/>
                <w:sz w:val="16"/>
                <w:szCs w:val="16"/>
              </w:rPr>
              <w:t xml:space="preserve">Remote working and digital communication</w:t>
            </w:r>
          </w:p>
        </w:tc>
        <w:tc>
          <w:tcPr>
            <w:tcW w:type="dxa" w:w="3700"/>
            <w:tcMar>
              <w:top w:type="dxa" w:w="60"/>
              <w:left w:type="dxa" w:w="110"/>
              <w:bottom w:type="dxa" w:w="60"/>
              <w:right w:type="dxa" w:w="110"/>
            </w:tcMar>
          </w:tcPr>
          <w:p>
            <w:pPr>
              <w:spacing w:after="40" w:before="40"/>
            </w:pPr>
            <w:r>
              <w:rPr>
                <w:rFonts w:ascii="Aptos" w:cs="Aptos" w:eastAsia="Aptos" w:hAnsi="Aptos"/>
                <w:sz w:val="16"/>
                <w:szCs w:val="16"/>
              </w:rPr>
              <w:t xml:space="preserve">With no office, most contact is by video call, email, WhatsApp and shared documents. Sexual comments, images or messages sent on these channels, including outside working hours and from personal accounts, are the most likely form harassment would take here</w:t>
            </w:r>
          </w:p>
        </w:tc>
        <w:tc>
          <w:tcPr>
            <w:tcW w:type="dxa" w:w="800"/>
            <w:tcMar>
              <w:top w:type="dxa" w:w="60"/>
              <w:left w:type="dxa" w:w="110"/>
              <w:bottom w:type="dxa" w:w="60"/>
              <w:right w:type="dxa" w:w="110"/>
            </w:tcMar>
          </w:tcPr>
          <w:p>
            <w:pPr>
              <w:spacing w:after="40" w:before="40"/>
            </w:pPr>
            <w:r>
              <w:rPr>
                <w:rFonts w:ascii="Aptos" w:cs="Aptos" w:eastAsia="Aptos" w:hAnsi="Aptos"/>
                <w:sz w:val="16"/>
                <w:szCs w:val="16"/>
              </w:rPr>
              <w:t xml:space="preserve">Medium</w:t>
            </w:r>
          </w:p>
        </w:tc>
        <w:tc>
          <w:tcPr>
            <w:tcW w:type="dxa" w:w="5300"/>
            <w:tcMar>
              <w:top w:type="dxa" w:w="60"/>
              <w:left w:type="dxa" w:w="110"/>
              <w:bottom w:type="dxa" w:w="60"/>
              <w:right w:type="dxa" w:w="110"/>
            </w:tcMar>
          </w:tcPr>
          <w:p>
            <w:pPr>
              <w:spacing w:after="40" w:before="40"/>
            </w:pPr>
            <w:r>
              <w:rPr>
                <w:rFonts w:ascii="Aptos" w:cs="Aptos" w:eastAsia="Aptos" w:hAnsi="Aptos"/>
                <w:sz w:val="16"/>
                <w:szCs w:val="16"/>
              </w:rPr>
              <w:t xml:space="preserve">Policy states expressly that video calls, calls, messages and shared documents are the workplace, and that conduct there is treated exactly as it would be in an office. Prohibition on sexual content on any device or screen used for work, including on shared screens. Staff told to keep messages and screenshots rather than delete them, and to report</w:t>
            </w:r>
          </w:p>
        </w:tc>
        <w:tc>
          <w:tcPr>
            <w:tcW w:type="dxa" w:w="2600"/>
            <w:tcMar>
              <w:top w:type="dxa" w:w="60"/>
              <w:left w:type="dxa" w:w="110"/>
              <w:bottom w:type="dxa" w:w="60"/>
              <w:right w:type="dxa" w:w="110"/>
            </w:tcMar>
          </w:tcPr>
          <w:p>
            <w:pPr>
              <w:spacing w:after="40" w:before="40"/>
            </w:pPr>
            <w:r>
              <w:rPr>
                <w:rFonts w:ascii="Aptos" w:cs="Aptos" w:eastAsia="Aptos" w:hAnsi="Aptos"/>
                <w:sz w:val="16"/>
                <w:szCs w:val="16"/>
              </w:rPr>
              <w:t xml:space="preserve">Cover digital conduct explicitly at the annual briefing and record that it was covered</w:t>
            </w:r>
          </w:p>
        </w:tc>
      </w:tr>
      <w:tr>
        <w:tc>
          <w:tcPr>
            <w:tcW w:type="dxa" w:w="2200"/>
            <w:tcMar>
              <w:top w:type="dxa" w:w="60"/>
              <w:left w:type="dxa" w:w="110"/>
              <w:bottom w:type="dxa" w:w="60"/>
              <w:right w:type="dxa" w:w="110"/>
            </w:tcMar>
          </w:tcPr>
          <w:p>
            <w:pPr>
              <w:spacing w:after="40" w:before="40"/>
            </w:pPr>
            <w:r>
              <w:rPr>
                <w:rFonts w:ascii="Aptos" w:cs="Aptos" w:eastAsia="Aptos" w:hAnsi="Aptos"/>
                <w:sz w:val="16"/>
                <w:szCs w:val="16"/>
              </w:rPr>
              <w:t xml:space="preserve">Isolation of remote workers</w:t>
            </w:r>
          </w:p>
        </w:tc>
        <w:tc>
          <w:tcPr>
            <w:tcW w:type="dxa" w:w="3700"/>
            <w:tcMar>
              <w:top w:type="dxa" w:w="60"/>
              <w:left w:type="dxa" w:w="110"/>
              <w:bottom w:type="dxa" w:w="60"/>
              <w:right w:type="dxa" w:w="110"/>
            </w:tcMar>
          </w:tcPr>
          <w:p>
            <w:pPr>
              <w:spacing w:after="40" w:before="40"/>
            </w:pPr>
            <w:r>
              <w:rPr>
                <w:rFonts w:ascii="Aptos" w:cs="Aptos" w:eastAsia="Aptos" w:hAnsi="Aptos"/>
                <w:sz w:val="16"/>
                <w:szCs w:val="16"/>
              </w:rPr>
              <w:t xml:space="preserve">Nobody sees an interaction going wrong. There are no colleagues in the room to notice, intervene or corroborate, and someone being harassed may have no informal contact with anyone else all day</w:t>
            </w:r>
          </w:p>
        </w:tc>
        <w:tc>
          <w:tcPr>
            <w:tcW w:type="dxa" w:w="800"/>
            <w:tcMar>
              <w:top w:type="dxa" w:w="60"/>
              <w:left w:type="dxa" w:w="110"/>
              <w:bottom w:type="dxa" w:w="60"/>
              <w:right w:type="dxa" w:w="110"/>
            </w:tcMar>
          </w:tcPr>
          <w:p>
            <w:pPr>
              <w:spacing w:after="40" w:before="40"/>
            </w:pPr>
            <w:r>
              <w:rPr>
                <w:rFonts w:ascii="Aptos" w:cs="Aptos" w:eastAsia="Aptos" w:hAnsi="Aptos"/>
                <w:sz w:val="16"/>
                <w:szCs w:val="16"/>
              </w:rPr>
              <w:t xml:space="preserve">Medium</w:t>
            </w:r>
          </w:p>
        </w:tc>
        <w:tc>
          <w:tcPr>
            <w:tcW w:type="dxa" w:w="5300"/>
            <w:tcMar>
              <w:top w:type="dxa" w:w="60"/>
              <w:left w:type="dxa" w:w="110"/>
              <w:bottom w:type="dxa" w:w="60"/>
              <w:right w:type="dxa" w:w="110"/>
            </w:tcMar>
          </w:tcPr>
          <w:p>
            <w:pPr>
              <w:spacing w:after="40" w:before="40"/>
            </w:pPr>
            <w:r>
              <w:rPr>
                <w:rFonts w:ascii="Aptos" w:cs="Aptos" w:eastAsia="Aptos" w:hAnsi="Aptos"/>
                <w:sz w:val="16"/>
                <w:szCs w:val="16"/>
              </w:rPr>
              <w:t xml:space="preserve">The Managing Director speaks to every employee individually rather than only in group calls. Direct question at the annual review about whether the employee has experienced or seen anything covered by the policy. Reporting routes available at any time and not dependent on being in a particular place</w:t>
            </w:r>
          </w:p>
        </w:tc>
        <w:tc>
          <w:tcPr>
            <w:tcW w:type="dxa" w:w="2600"/>
            <w:tcMar>
              <w:top w:type="dxa" w:w="60"/>
              <w:left w:type="dxa" w:w="110"/>
              <w:bottom w:type="dxa" w:w="60"/>
              <w:right w:type="dxa" w:w="110"/>
            </w:tcMar>
          </w:tcPr>
          <w:p>
            <w:pPr>
              <w:spacing w:after="40" w:before="40"/>
            </w:pPr>
            <w:r>
              <w:rPr>
                <w:rFonts w:ascii="Aptos" w:cs="Aptos" w:eastAsia="Aptos" w:hAnsi="Aptos"/>
                <w:sz w:val="16"/>
                <w:szCs w:val="16"/>
              </w:rPr>
              <w:t xml:space="preserve">Keep at least one one-to-one call per employee per quarter that is not project-related</w:t>
            </w:r>
          </w:p>
        </w:tc>
      </w:tr>
      <w:tr>
        <w:tc>
          <w:tcPr>
            <w:tcW w:type="dxa" w:w="2200"/>
            <w:tcMar>
              <w:top w:type="dxa" w:w="60"/>
              <w:left w:type="dxa" w:w="110"/>
              <w:bottom w:type="dxa" w:w="60"/>
              <w:right w:type="dxa" w:w="110"/>
            </w:tcMar>
          </w:tcPr>
          <w:p>
            <w:pPr>
              <w:spacing w:after="40" w:before="40"/>
            </w:pPr>
            <w:commentRangeStart w:id="5"/>
            <w:r>
              <w:rPr>
                <w:rFonts w:ascii="Aptos" w:cs="Aptos" w:eastAsia="Aptos" w:hAnsi="Aptos"/>
                <w:sz w:val="16"/>
                <w:szCs w:val="16"/>
                <w:highlight w:val="yellow"/>
              </w:rPr>
              <w:t xml:space="preserve">Site surveys at client premises</w:t>
            </w:r>
            <w:commentRangeEnd w:id="5"/>
            <w:r>
              <w:commentReference w:id="5"/>
            </w:r>
          </w:p>
        </w:tc>
        <w:tc>
          <w:tcPr>
            <w:tcW w:type="dxa" w:w="3700"/>
            <w:tcMar>
              <w:top w:type="dxa" w:w="60"/>
              <w:left w:type="dxa" w:w="110"/>
              <w:bottom w:type="dxa" w:w="60"/>
              <w:right w:type="dxa" w:w="110"/>
            </w:tcMar>
          </w:tcPr>
          <w:p>
            <w:pPr>
              <w:spacing w:after="40" w:before="40"/>
            </w:pPr>
            <w:r>
              <w:rPr>
                <w:rFonts w:ascii="Aptos" w:cs="Aptos" w:eastAsia="Aptos" w:hAnsi="Aptos"/>
                <w:sz w:val="16"/>
                <w:szCs w:val="16"/>
              </w:rPr>
              <w:t xml:space="preserve">An employee attending a client site could be harassed by client staff, contractor staff or others present. They are on someone else's premises, often alone apart from the escort, and may feel they cannot walk out of a client's building</w:t>
            </w:r>
          </w:p>
        </w:tc>
        <w:tc>
          <w:tcPr>
            <w:tcW w:type="dxa" w:w="800"/>
            <w:tcMar>
              <w:top w:type="dxa" w:w="60"/>
              <w:left w:type="dxa" w:w="110"/>
              <w:bottom w:type="dxa" w:w="60"/>
              <w:right w:type="dxa" w:w="110"/>
            </w:tcMar>
          </w:tcPr>
          <w:p>
            <w:pPr>
              <w:spacing w:after="40" w:before="40"/>
            </w:pPr>
            <w:r>
              <w:rPr>
                <w:rFonts w:ascii="Aptos" w:cs="Aptos" w:eastAsia="Aptos" w:hAnsi="Aptos"/>
                <w:sz w:val="16"/>
                <w:szCs w:val="16"/>
              </w:rPr>
              <w:t xml:space="preserve">Medium</w:t>
            </w:r>
          </w:p>
        </w:tc>
        <w:tc>
          <w:tcPr>
            <w:tcW w:type="dxa" w:w="5300"/>
            <w:tcMar>
              <w:top w:type="dxa" w:w="60"/>
              <w:left w:type="dxa" w:w="110"/>
              <w:bottom w:type="dxa" w:w="60"/>
              <w:right w:type="dxa" w:w="110"/>
            </w:tcMar>
          </w:tcPr>
          <w:p>
            <w:pPr>
              <w:spacing w:after="40" w:before="40"/>
            </w:pPr>
            <w:r>
              <w:rPr>
                <w:rFonts w:ascii="Aptos" w:cs="Aptos" w:eastAsia="Aptos" w:hAnsi="Aptos"/>
                <w:sz w:val="16"/>
                <w:szCs w:val="16"/>
              </w:rPr>
              <w:t xml:space="preserve">Surveys arranged in advance and carried out under escort by the client, not unannounced or unaccompanied. Visits logged and approved, with location and expected duration known. Every employee told in writing that they may leave a site immediately if they feel unsafe or are being harassed, without permission and without criticism. Incident raised formally with the client by the Managing Director, in writing</w:t>
            </w:r>
          </w:p>
        </w:tc>
        <w:tc>
          <w:tcPr>
            <w:tcW w:type="dxa" w:w="2600"/>
            <w:tcMar>
              <w:top w:type="dxa" w:w="60"/>
              <w:left w:type="dxa" w:w="110"/>
              <w:bottom w:type="dxa" w:w="60"/>
              <w:right w:type="dxa" w:w="110"/>
            </w:tcMar>
          </w:tcPr>
          <w:p>
            <w:pPr>
              <w:spacing w:after="40" w:before="40"/>
            </w:pPr>
            <w:r>
              <w:rPr>
                <w:rFonts w:ascii="Aptos" w:cs="Aptos" w:eastAsia="Aptos" w:hAnsi="Aptos"/>
                <w:sz w:val="16"/>
                <w:szCs w:val="16"/>
              </w:rPr>
              <w:t xml:space="preserve">Ask for the escort to be named in advance where the survey is at an unfamiliar site or out of normal hours</w:t>
            </w:r>
          </w:p>
        </w:tc>
      </w:tr>
      <w:tr>
        <w:tc>
          <w:tcPr>
            <w:tcW w:type="dxa" w:w="2200"/>
            <w:tcMar>
              <w:top w:type="dxa" w:w="60"/>
              <w:left w:type="dxa" w:w="110"/>
              <w:bottom w:type="dxa" w:w="60"/>
              <w:right w:type="dxa" w:w="110"/>
            </w:tcMar>
          </w:tcPr>
          <w:p>
            <w:pPr>
              <w:spacing w:after="40" w:before="40"/>
            </w:pPr>
            <w:r>
              <w:rPr>
                <w:rFonts w:ascii="Aptos" w:cs="Aptos" w:eastAsia="Aptos" w:hAnsi="Aptos"/>
                <w:sz w:val="16"/>
                <w:szCs w:val="16"/>
              </w:rPr>
              <w:t xml:space="preserve">Client meetings, design workshops and site progress meetings</w:t>
            </w:r>
          </w:p>
        </w:tc>
        <w:tc>
          <w:tcPr>
            <w:tcW w:type="dxa" w:w="3700"/>
            <w:tcMar>
              <w:top w:type="dxa" w:w="60"/>
              <w:left w:type="dxa" w:w="110"/>
              <w:bottom w:type="dxa" w:w="60"/>
              <w:right w:type="dxa" w:w="110"/>
            </w:tcMar>
          </w:tcPr>
          <w:p>
            <w:pPr>
              <w:spacing w:after="40" w:before="40"/>
            </w:pPr>
            <w:r>
              <w:rPr>
                <w:rFonts w:ascii="Aptos" w:cs="Aptos" w:eastAsia="Aptos" w:hAnsi="Aptos"/>
                <w:sz w:val="16"/>
                <w:szCs w:val="16"/>
              </w:rPr>
              <w:t xml:space="preserve">Meetings held on client or contractor premises, sometimes with our employee the only person from ⟦short⟧ and the only person of their sex present</w:t>
            </w:r>
          </w:p>
        </w:tc>
        <w:tc>
          <w:tcPr>
            <w:tcW w:type="dxa" w:w="800"/>
            <w:tcMar>
              <w:top w:type="dxa" w:w="60"/>
              <w:left w:type="dxa" w:w="110"/>
              <w:bottom w:type="dxa" w:w="60"/>
              <w:right w:type="dxa" w:w="110"/>
            </w:tcMar>
          </w:tcPr>
          <w:p>
            <w:pPr>
              <w:spacing w:after="40" w:before="40"/>
            </w:pPr>
            <w:r>
              <w:rPr>
                <w:rFonts w:ascii="Aptos" w:cs="Aptos" w:eastAsia="Aptos" w:hAnsi="Aptos"/>
                <w:sz w:val="16"/>
                <w:szCs w:val="16"/>
              </w:rPr>
              <w:t xml:space="preserve">Medium</w:t>
            </w:r>
          </w:p>
        </w:tc>
        <w:tc>
          <w:tcPr>
            <w:tcW w:type="dxa" w:w="5300"/>
            <w:tcMar>
              <w:top w:type="dxa" w:w="60"/>
              <w:left w:type="dxa" w:w="110"/>
              <w:bottom w:type="dxa" w:w="60"/>
              <w:right w:type="dxa" w:w="110"/>
            </w:tcMar>
          </w:tcPr>
          <w:p>
            <w:pPr>
              <w:spacing w:after="40" w:before="40"/>
            </w:pPr>
            <w:r>
              <w:rPr>
                <w:rFonts w:ascii="Aptos" w:cs="Aptos" w:eastAsia="Aptos" w:hAnsi="Aptos"/>
                <w:sz w:val="16"/>
                <w:szCs w:val="16"/>
              </w:rPr>
              <w:t xml:space="preserve">Same withdrawal right applies. The Managing Director attends alongside where a location or party has generated a concern before. Third-party incidents recorded alongside internal ones so a pattern at one client is visible. Escalation to the client organisation in writing, and removal from the account or resignation of the commission if behaviour does not stop</w:t>
            </w:r>
          </w:p>
        </w:tc>
        <w:tc>
          <w:tcPr>
            <w:tcW w:type="dxa" w:w="2600"/>
            <w:tcMar>
              <w:top w:type="dxa" w:w="60"/>
              <w:left w:type="dxa" w:w="110"/>
              <w:bottom w:type="dxa" w:w="60"/>
              <w:right w:type="dxa" w:w="110"/>
            </w:tcMar>
          </w:tcPr>
          <w:p>
            <w:pPr>
              <w:spacing w:after="40" w:before="40"/>
            </w:pPr>
            <w:r>
              <w:rPr>
                <w:rFonts w:ascii="Aptos" w:cs="Aptos" w:eastAsia="Aptos" w:hAnsi="Aptos"/>
                <w:sz w:val="16"/>
                <w:szCs w:val="16"/>
              </w:rPr>
              <w:t xml:space="preserve">Review the incident record annually for any client appearing more than once</w:t>
            </w:r>
          </w:p>
        </w:tc>
      </w:tr>
      <w:tr>
        <w:tc>
          <w:tcPr>
            <w:tcW w:type="dxa" w:w="2200"/>
            <w:tcMar>
              <w:top w:type="dxa" w:w="60"/>
              <w:left w:type="dxa" w:w="110"/>
              <w:bottom w:type="dxa" w:w="60"/>
              <w:right w:type="dxa" w:w="110"/>
            </w:tcMar>
          </w:tcPr>
          <w:p>
            <w:pPr>
              <w:spacing w:after="40" w:before="40"/>
            </w:pPr>
            <w:r>
              <w:rPr>
                <w:rFonts w:ascii="Aptos" w:cs="Aptos" w:eastAsia="Aptos" w:hAnsi="Aptos"/>
                <w:sz w:val="16"/>
                <w:szCs w:val="16"/>
              </w:rPr>
              <w:t xml:space="preserve">Commercial pressure to tolerate a client's behaviour</w:t>
            </w:r>
          </w:p>
        </w:tc>
        <w:tc>
          <w:tcPr>
            <w:tcW w:type="dxa" w:w="3700"/>
            <w:tcMar>
              <w:top w:type="dxa" w:w="60"/>
              <w:left w:type="dxa" w:w="110"/>
              <w:bottom w:type="dxa" w:w="60"/>
              <w:right w:type="dxa" w:w="110"/>
            </w:tcMar>
          </w:tcPr>
          <w:p>
            <w:pPr>
              <w:spacing w:after="40" w:before="40"/>
            </w:pPr>
            <w:r>
              <w:rPr>
                <w:rFonts w:ascii="Aptos" w:cs="Aptos" w:eastAsia="Aptos" w:hAnsi="Aptos"/>
                <w:sz w:val="16"/>
                <w:szCs w:val="16"/>
              </w:rPr>
              <w:t xml:space="preserve">In a business this size, one client can be a large share of turnover. An employee may believe, or be made to believe, that complaining about a client's staff would cost the Company the work and cost them their job</w:t>
            </w:r>
          </w:p>
        </w:tc>
        <w:tc>
          <w:tcPr>
            <w:tcW w:type="dxa" w:w="800"/>
            <w:tcMar>
              <w:top w:type="dxa" w:w="60"/>
              <w:left w:type="dxa" w:w="110"/>
              <w:bottom w:type="dxa" w:w="60"/>
              <w:right w:type="dxa" w:w="110"/>
            </w:tcMar>
          </w:tcPr>
          <w:p>
            <w:pPr>
              <w:spacing w:after="40" w:before="40"/>
            </w:pPr>
            <w:r>
              <w:rPr>
                <w:rFonts w:ascii="Aptos" w:cs="Aptos" w:eastAsia="Aptos" w:hAnsi="Aptos"/>
                <w:sz w:val="16"/>
                <w:szCs w:val="16"/>
              </w:rPr>
              <w:t xml:space="preserve">High</w:t>
            </w:r>
          </w:p>
        </w:tc>
        <w:tc>
          <w:tcPr>
            <w:tcW w:type="dxa" w:w="5300"/>
            <w:tcMar>
              <w:top w:type="dxa" w:w="60"/>
              <w:left w:type="dxa" w:w="110"/>
              <w:bottom w:type="dxa" w:w="60"/>
              <w:right w:type="dxa" w:w="110"/>
            </w:tcMar>
          </w:tcPr>
          <w:p>
            <w:pPr>
              <w:spacing w:after="40" w:before="40"/>
            </w:pPr>
            <w:r>
              <w:rPr>
                <w:rFonts w:ascii="Aptos" w:cs="Aptos" w:eastAsia="Aptos" w:hAnsi="Aptos"/>
                <w:sz w:val="16"/>
                <w:szCs w:val="16"/>
              </w:rPr>
              <w:t xml:space="preserve">Policy states in plain terms that no one is expected to put up with harassment to protect a fee. The Managing Director has accepted in advance that the Company will remove the individual from the account or resign the commission, so the decision is not taken under pressure on the day. Stated at the annual briefing so that everyone has heard it said out loud</w:t>
            </w:r>
          </w:p>
        </w:tc>
        <w:tc>
          <w:tcPr>
            <w:tcW w:type="dxa" w:w="2600"/>
            <w:tcMar>
              <w:top w:type="dxa" w:w="60"/>
              <w:left w:type="dxa" w:w="110"/>
              <w:bottom w:type="dxa" w:w="60"/>
              <w:right w:type="dxa" w:w="110"/>
            </w:tcMar>
          </w:tcPr>
          <w:p>
            <w:pPr>
              <w:spacing w:after="40" w:before="40"/>
            </w:pPr>
            <w:r>
              <w:rPr>
                <w:rFonts w:ascii="Aptos" w:cs="Aptos" w:eastAsia="Aptos" w:hAnsi="Aptos"/>
                <w:sz w:val="16"/>
                <w:szCs w:val="16"/>
              </w:rPr>
              <w:t xml:space="preserve">Repeat this explicitly at each annual briefing and minute that it was said</w:t>
            </w:r>
          </w:p>
        </w:tc>
      </w:tr>
      <w:tr>
        <w:tc>
          <w:tcPr>
            <w:tcW w:type="dxa" w:w="2200"/>
            <w:tcMar>
              <w:top w:type="dxa" w:w="60"/>
              <w:left w:type="dxa" w:w="110"/>
              <w:bottom w:type="dxa" w:w="60"/>
              <w:right w:type="dxa" w:w="110"/>
            </w:tcMar>
          </w:tcPr>
          <w:p>
            <w:pPr>
              <w:spacing w:after="40" w:before="40"/>
            </w:pPr>
            <w:r>
              <w:rPr>
                <w:rFonts w:ascii="Aptos" w:cs="Aptos" w:eastAsia="Aptos" w:hAnsi="Aptos"/>
                <w:sz w:val="16"/>
                <w:szCs w:val="16"/>
              </w:rPr>
              <w:t xml:space="preserve">Industry events, CPD sessions and supplier entertainment</w:t>
            </w:r>
          </w:p>
        </w:tc>
        <w:tc>
          <w:tcPr>
            <w:tcW w:type="dxa" w:w="3700"/>
            <w:tcMar>
              <w:top w:type="dxa" w:w="60"/>
              <w:left w:type="dxa" w:w="110"/>
              <w:bottom w:type="dxa" w:w="60"/>
              <w:right w:type="dxa" w:w="110"/>
            </w:tcMar>
          </w:tcPr>
          <w:p>
            <w:pPr>
              <w:spacing w:after="40" w:before="40"/>
            </w:pPr>
            <w:r>
              <w:rPr>
                <w:rFonts w:ascii="Aptos" w:cs="Aptos" w:eastAsia="Aptos" w:hAnsi="Aptos"/>
                <w:sz w:val="16"/>
                <w:szCs w:val="16"/>
              </w:rPr>
              <w:t xml:space="preserve">Alcohol, an informal setting and a mix of employers. People may think the policy does not apply because it is not a working day or not our event</w:t>
            </w:r>
          </w:p>
        </w:tc>
        <w:tc>
          <w:tcPr>
            <w:tcW w:type="dxa" w:w="800"/>
            <w:tcMar>
              <w:top w:type="dxa" w:w="60"/>
              <w:left w:type="dxa" w:w="110"/>
              <w:bottom w:type="dxa" w:w="60"/>
              <w:right w:type="dxa" w:w="110"/>
            </w:tcMar>
          </w:tcPr>
          <w:p>
            <w:pPr>
              <w:spacing w:after="40" w:before="40"/>
            </w:pPr>
            <w:r>
              <w:rPr>
                <w:rFonts w:ascii="Aptos" w:cs="Aptos" w:eastAsia="Aptos" w:hAnsi="Aptos"/>
                <w:sz w:val="16"/>
                <w:szCs w:val="16"/>
              </w:rPr>
              <w:t xml:space="preserve">Medium</w:t>
            </w:r>
          </w:p>
        </w:tc>
        <w:tc>
          <w:tcPr>
            <w:tcW w:type="dxa" w:w="5300"/>
            <w:tcMar>
              <w:top w:type="dxa" w:w="60"/>
              <w:left w:type="dxa" w:w="110"/>
              <w:bottom w:type="dxa" w:w="60"/>
              <w:right w:type="dxa" w:w="110"/>
            </w:tcMar>
          </w:tcPr>
          <w:p>
            <w:pPr>
              <w:spacing w:after="40" w:before="40"/>
            </w:pPr>
            <w:r>
              <w:rPr>
                <w:rFonts w:ascii="Aptos" w:cs="Aptos" w:eastAsia="Aptos" w:hAnsi="Aptos"/>
                <w:sz w:val="16"/>
                <w:szCs w:val="16"/>
              </w:rPr>
              <w:t xml:space="preserve">Policy applies expressly to industry events, CPD, supplier events, training courses and team socials, whether or not we organised them. Written reminder of expected standards issued before any event the Company arranges or funds attendance at. Managing Director responsible for setting the tone and intervening</w:t>
            </w:r>
          </w:p>
        </w:tc>
        <w:tc>
          <w:tcPr>
            <w:tcW w:type="dxa" w:w="2600"/>
            <w:tcMar>
              <w:top w:type="dxa" w:w="60"/>
              <w:left w:type="dxa" w:w="110"/>
              <w:bottom w:type="dxa" w:w="60"/>
              <w:right w:type="dxa" w:w="110"/>
            </w:tcMar>
          </w:tcPr>
          <w:p>
            <w:pPr>
              <w:spacing w:after="40" w:before="40"/>
            </w:pPr>
            <w:r>
              <w:rPr>
                <w:rFonts w:ascii="Aptos" w:cs="Aptos" w:eastAsia="Aptos" w:hAnsi="Aptos"/>
                <w:sz w:val="16"/>
                <w:szCs w:val="16"/>
              </w:rPr>
              <w:t xml:space="preserve">Issue a short written standards reminder before the next industry event and keep a copy</w:t>
            </w:r>
          </w:p>
        </w:tc>
      </w:tr>
      <w:tr>
        <w:tc>
          <w:tcPr>
            <w:tcW w:type="dxa" w:w="2200"/>
            <w:tcMar>
              <w:top w:type="dxa" w:w="60"/>
              <w:left w:type="dxa" w:w="110"/>
              <w:bottom w:type="dxa" w:w="60"/>
              <w:right w:type="dxa" w:w="110"/>
            </w:tcMar>
          </w:tcPr>
          <w:p>
            <w:pPr>
              <w:spacing w:after="40" w:before="40"/>
            </w:pPr>
            <w:r>
              <w:rPr>
                <w:rFonts w:ascii="Aptos" w:cs="Aptos" w:eastAsia="Aptos" w:hAnsi="Aptos"/>
                <w:sz w:val="16"/>
                <w:szCs w:val="16"/>
              </w:rPr>
              <w:t xml:space="preserve">Team composition</w:t>
            </w:r>
          </w:p>
        </w:tc>
        <w:tc>
          <w:tcPr>
            <w:tcW w:type="dxa" w:w="3700"/>
            <w:tcMar>
              <w:top w:type="dxa" w:w="60"/>
              <w:left w:type="dxa" w:w="110"/>
              <w:bottom w:type="dxa" w:w="60"/>
              <w:right w:type="dxa" w:w="110"/>
            </w:tcMar>
          </w:tcPr>
          <w:p>
            <w:pPr>
              <w:spacing w:after="40" w:before="40"/>
            </w:pPr>
            <w:r>
              <w:rPr>
                <w:rFonts w:ascii="Aptos" w:cs="Aptos" w:eastAsia="Aptos" w:hAnsi="Aptos"/>
                <w:sz w:val="16"/>
                <w:szCs w:val="16"/>
              </w:rPr>
              <w:t xml:space="preserve">Where anyone is in a minority by sex within the team or on client sites, sexual banter, remarks about appearance, or having their technical competence dismissed because of their sex become more likely, and harder to challenge alone</w:t>
            </w:r>
          </w:p>
        </w:tc>
        <w:tc>
          <w:tcPr>
            <w:tcW w:type="dxa" w:w="800"/>
            <w:tcMar>
              <w:top w:type="dxa" w:w="60"/>
              <w:left w:type="dxa" w:w="110"/>
              <w:bottom w:type="dxa" w:w="60"/>
              <w:right w:type="dxa" w:w="110"/>
            </w:tcMar>
          </w:tcPr>
          <w:p>
            <w:pPr>
              <w:spacing w:after="40" w:before="40"/>
            </w:pPr>
            <w:r>
              <w:rPr>
                <w:rFonts w:ascii="Aptos" w:cs="Aptos" w:eastAsia="Aptos" w:hAnsi="Aptos"/>
                <w:sz w:val="16"/>
                <w:szCs w:val="16"/>
              </w:rPr>
              <w:t xml:space="preserve">Medium</w:t>
            </w:r>
          </w:p>
        </w:tc>
        <w:tc>
          <w:tcPr>
            <w:tcW w:type="dxa" w:w="5300"/>
            <w:tcMar>
              <w:top w:type="dxa" w:w="60"/>
              <w:left w:type="dxa" w:w="110"/>
              <w:bottom w:type="dxa" w:w="60"/>
              <w:right w:type="dxa" w:w="110"/>
            </w:tcMar>
          </w:tcPr>
          <w:p>
            <w:pPr>
              <w:spacing w:after="40" w:before="40"/>
            </w:pPr>
            <w:r>
              <w:rPr>
                <w:rFonts w:ascii="Aptos" w:cs="Aptos" w:eastAsia="Aptos" w:hAnsi="Aptos"/>
                <w:sz w:val="16"/>
                <w:szCs w:val="16"/>
              </w:rPr>
              <w:t xml:space="preserve">Policy states that banter is no defence and that one incident is enough. Harassment related to sex, including belittling someone's technical competence, expressly covered. Managing Director required to challenge conduct they see, whether or not anyone has complained</w:t>
            </w:r>
          </w:p>
        </w:tc>
        <w:tc>
          <w:tcPr>
            <w:tcW w:type="dxa" w:w="2600"/>
            <w:tcMar>
              <w:top w:type="dxa" w:w="60"/>
              <w:left w:type="dxa" w:w="110"/>
              <w:bottom w:type="dxa" w:w="60"/>
              <w:right w:type="dxa" w:w="110"/>
            </w:tcMar>
          </w:tcPr>
          <w:p>
            <w:pPr>
              <w:spacing w:after="40" w:before="40"/>
            </w:pPr>
            <w:r>
              <w:rPr>
                <w:rFonts w:ascii="Aptos" w:cs="Aptos" w:eastAsia="Aptos" w:hAnsi="Aptos"/>
                <w:sz w:val="16"/>
                <w:szCs w:val="16"/>
              </w:rPr>
              <w:t xml:space="preserve">Review at each annual assessment as the team changes</w:t>
            </w:r>
          </w:p>
        </w:tc>
      </w:tr>
      <w:tr>
        <w:tc>
          <w:tcPr>
            <w:tcW w:type="dxa" w:w="2200"/>
            <w:tcMar>
              <w:top w:type="dxa" w:w="60"/>
              <w:left w:type="dxa" w:w="110"/>
              <w:bottom w:type="dxa" w:w="60"/>
              <w:right w:type="dxa" w:w="110"/>
            </w:tcMar>
          </w:tcPr>
          <w:p>
            <w:pPr>
              <w:spacing w:after="40" w:before="40"/>
            </w:pPr>
            <w:r>
              <w:rPr>
                <w:rFonts w:ascii="Aptos" w:cs="Aptos" w:eastAsia="Aptos" w:hAnsi="Aptos"/>
                <w:sz w:val="16"/>
                <w:szCs w:val="16"/>
              </w:rPr>
              <w:t xml:space="preserve">New starters and young employees</w:t>
            </w:r>
          </w:p>
        </w:tc>
        <w:tc>
          <w:tcPr>
            <w:tcW w:type="dxa" w:w="3700"/>
            <w:tcMar>
              <w:top w:type="dxa" w:w="60"/>
              <w:left w:type="dxa" w:w="110"/>
              <w:bottom w:type="dxa" w:w="60"/>
              <w:right w:type="dxa" w:w="110"/>
            </w:tcMar>
          </w:tcPr>
          <w:p>
            <w:pPr>
              <w:spacing w:after="40" w:before="40"/>
            </w:pPr>
            <w:r>
              <w:rPr>
                <w:rFonts w:ascii="Aptos" w:cs="Aptos" w:eastAsia="Aptos" w:hAnsi="Aptos"/>
                <w:sz w:val="16"/>
                <w:szCs w:val="16"/>
              </w:rPr>
              <w:t xml:space="preserve">Someone new, junior or on probation may not know what is acceptable, may not know the routes, and is the least likely person in the business to speak up</w:t>
            </w:r>
          </w:p>
        </w:tc>
        <w:tc>
          <w:tcPr>
            <w:tcW w:type="dxa" w:w="800"/>
            <w:tcMar>
              <w:top w:type="dxa" w:w="60"/>
              <w:left w:type="dxa" w:w="110"/>
              <w:bottom w:type="dxa" w:w="60"/>
              <w:right w:type="dxa" w:w="110"/>
            </w:tcMar>
          </w:tcPr>
          <w:p>
            <w:pPr>
              <w:spacing w:after="40" w:before="40"/>
            </w:pPr>
            <w:r>
              <w:rPr>
                <w:rFonts w:ascii="Aptos" w:cs="Aptos" w:eastAsia="Aptos" w:hAnsi="Aptos"/>
                <w:sz w:val="16"/>
                <w:szCs w:val="16"/>
              </w:rPr>
              <w:t xml:space="preserve">Medium</w:t>
            </w:r>
          </w:p>
        </w:tc>
        <w:tc>
          <w:tcPr>
            <w:tcW w:type="dxa" w:w="5300"/>
            <w:tcMar>
              <w:top w:type="dxa" w:w="60"/>
              <w:left w:type="dxa" w:w="110"/>
              <w:bottom w:type="dxa" w:w="60"/>
              <w:right w:type="dxa" w:w="110"/>
            </w:tcMar>
          </w:tcPr>
          <w:p>
            <w:pPr>
              <w:spacing w:after="40" w:before="40"/>
            </w:pPr>
            <w:r>
              <w:rPr>
                <w:rFonts w:ascii="Aptos" w:cs="Aptos" w:eastAsia="Aptos" w:hAnsi="Aptos"/>
                <w:sz w:val="16"/>
                <w:szCs w:val="16"/>
              </w:rPr>
              <w:t xml:space="preserve">Policy pack emailed before the start date and acknowledged in writing as part of the New Starter Checklist. Reporting routes card issued at the same time. The Managing Director raises the point directly at the end of the first month</w:t>
            </w:r>
          </w:p>
        </w:tc>
        <w:tc>
          <w:tcPr>
            <w:tcW w:type="dxa" w:w="2600"/>
            <w:tcMar>
              <w:top w:type="dxa" w:w="60"/>
              <w:left w:type="dxa" w:w="110"/>
              <w:bottom w:type="dxa" w:w="60"/>
              <w:right w:type="dxa" w:w="110"/>
            </w:tcMar>
          </w:tcPr>
          <w:p>
            <w:pPr>
              <w:spacing w:after="40" w:before="40"/>
            </w:pPr>
            <w:r>
              <w:rPr>
                <w:rFonts w:ascii="Aptos" w:cs="Aptos" w:eastAsia="Aptos" w:hAnsi="Aptos"/>
                <w:sz w:val="16"/>
                <w:szCs w:val="16"/>
              </w:rPr>
              <w:t xml:space="preserve">Add a first-month check-in to the New Starter Checklist</w:t>
            </w:r>
          </w:p>
        </w:tc>
      </w:tr>
      <w:tr>
        <w:tc>
          <w:tcPr>
            <w:tcW w:type="dxa" w:w="2200"/>
            <w:tcMar>
              <w:top w:type="dxa" w:w="60"/>
              <w:left w:type="dxa" w:w="110"/>
              <w:bottom w:type="dxa" w:w="60"/>
              <w:right w:type="dxa" w:w="110"/>
            </w:tcMar>
          </w:tcPr>
          <w:p>
            <w:pPr>
              <w:spacing w:after="40" w:before="40"/>
            </w:pPr>
            <w:r>
              <w:rPr>
                <w:rFonts w:ascii="Aptos" w:cs="Aptos" w:eastAsia="Aptos" w:hAnsi="Aptos"/>
                <w:sz w:val="16"/>
                <w:szCs w:val="16"/>
              </w:rPr>
              <w:t xml:space="preserve">Confidentiality cannot be guaranteed</w:t>
            </w:r>
          </w:p>
        </w:tc>
        <w:tc>
          <w:tcPr>
            <w:tcW w:type="dxa" w:w="3700"/>
            <w:tcMar>
              <w:top w:type="dxa" w:w="60"/>
              <w:left w:type="dxa" w:w="110"/>
              <w:bottom w:type="dxa" w:w="60"/>
              <w:right w:type="dxa" w:w="110"/>
            </w:tcMar>
          </w:tcPr>
          <w:p>
            <w:pPr>
              <w:spacing w:after="40" w:before="40"/>
            </w:pPr>
            <w:r>
              <w:rPr>
                <w:rFonts w:ascii="Aptos" w:cs="Aptos" w:eastAsia="Aptos" w:hAnsi="Aptos"/>
                <w:sz w:val="16"/>
                <w:szCs w:val="16"/>
              </w:rPr>
              <w:t xml:space="preserve">In a business this small it will often be obvious who raised a concern, which deters reporting and increases the risk of victimisation afterwards</w:t>
            </w:r>
          </w:p>
        </w:tc>
        <w:tc>
          <w:tcPr>
            <w:tcW w:type="dxa" w:w="800"/>
            <w:tcMar>
              <w:top w:type="dxa" w:w="60"/>
              <w:left w:type="dxa" w:w="110"/>
              <w:bottom w:type="dxa" w:w="60"/>
              <w:right w:type="dxa" w:w="110"/>
            </w:tcMar>
          </w:tcPr>
          <w:p>
            <w:pPr>
              <w:spacing w:after="40" w:before="40"/>
            </w:pPr>
            <w:r>
              <w:rPr>
                <w:rFonts w:ascii="Aptos" w:cs="Aptos" w:eastAsia="Aptos" w:hAnsi="Aptos"/>
                <w:sz w:val="16"/>
                <w:szCs w:val="16"/>
              </w:rPr>
              <w:t xml:space="preserve">Medium</w:t>
            </w:r>
          </w:p>
        </w:tc>
        <w:tc>
          <w:tcPr>
            <w:tcW w:type="dxa" w:w="5300"/>
            <w:tcMar>
              <w:top w:type="dxa" w:w="60"/>
              <w:left w:type="dxa" w:w="110"/>
              <w:bottom w:type="dxa" w:w="60"/>
              <w:right w:type="dxa" w:w="110"/>
            </w:tcMar>
          </w:tcPr>
          <w:p>
            <w:pPr>
              <w:spacing w:after="40" w:before="40"/>
            </w:pPr>
            <w:r>
              <w:rPr>
                <w:rFonts w:ascii="Aptos" w:cs="Aptos" w:eastAsia="Aptos" w:hAnsi="Aptos"/>
                <w:sz w:val="16"/>
                <w:szCs w:val="16"/>
              </w:rPr>
              <w:t xml:space="preserve">Policy says this openly rather than promising confidentiality it cannot deliver. Information shared only with those who need it, and the person told before anyone else is. Working out who reported and treating them badly for it is a further disciplinary offence. External route available where the person does not want the Company to know at all</w:t>
            </w:r>
          </w:p>
        </w:tc>
        <w:tc>
          <w:tcPr>
            <w:tcW w:type="dxa" w:w="2600"/>
            <w:tcMar>
              <w:top w:type="dxa" w:w="60"/>
              <w:left w:type="dxa" w:w="110"/>
              <w:bottom w:type="dxa" w:w="60"/>
              <w:right w:type="dxa" w:w="110"/>
            </w:tcMar>
          </w:tcPr>
          <w:p>
            <w:pPr>
              <w:spacing w:after="40" w:before="40"/>
            </w:pPr>
            <w:r>
              <w:rPr>
                <w:rFonts w:ascii="Aptos" w:cs="Aptos" w:eastAsia="Aptos" w:hAnsi="Aptos"/>
                <w:sz w:val="16"/>
                <w:szCs w:val="16"/>
              </w:rPr>
              <w:t xml:space="preserve">None. Being straight about this is the control</w:t>
            </w:r>
          </w:p>
        </w:tc>
      </w:tr>
      <w:tr>
        <w:tc>
          <w:tcPr>
            <w:tcW w:type="dxa" w:w="2200"/>
            <w:tcMar>
              <w:top w:type="dxa" w:w="60"/>
              <w:left w:type="dxa" w:w="110"/>
              <w:bottom w:type="dxa" w:w="60"/>
              <w:right w:type="dxa" w:w="110"/>
            </w:tcMar>
          </w:tcPr>
          <w:p>
            <w:pPr>
              <w:spacing w:after="40" w:before="40"/>
            </w:pPr>
            <w:r>
              <w:rPr>
                <w:rFonts w:ascii="Aptos" w:cs="Aptos" w:eastAsia="Aptos" w:hAnsi="Aptos"/>
                <w:sz w:val="16"/>
                <w:szCs w:val="16"/>
              </w:rPr>
              <w:t xml:space="preserve">A poor or slow first response</w:t>
            </w:r>
          </w:p>
        </w:tc>
        <w:tc>
          <w:tcPr>
            <w:tcW w:type="dxa" w:w="3700"/>
            <w:tcMar>
              <w:top w:type="dxa" w:w="60"/>
              <w:left w:type="dxa" w:w="110"/>
              <w:bottom w:type="dxa" w:w="60"/>
              <w:right w:type="dxa" w:w="110"/>
            </w:tcMar>
          </w:tcPr>
          <w:p>
            <w:pPr>
              <w:spacing w:after="40" w:before="40"/>
            </w:pPr>
            <w:r>
              <w:rPr>
                <w:rFonts w:ascii="Aptos" w:cs="Aptos" w:eastAsia="Aptos" w:hAnsi="Aptos"/>
                <w:sz w:val="16"/>
                <w:szCs w:val="16"/>
              </w:rPr>
              <w:t xml:space="preserve">The first time someone reports something sets whether anyone ever reports again. A defensive or delayed response in a business this size ends internal reporting permanently</w:t>
            </w:r>
          </w:p>
        </w:tc>
        <w:tc>
          <w:tcPr>
            <w:tcW w:type="dxa" w:w="800"/>
            <w:tcMar>
              <w:top w:type="dxa" w:w="60"/>
              <w:left w:type="dxa" w:w="110"/>
              <w:bottom w:type="dxa" w:w="60"/>
              <w:right w:type="dxa" w:w="110"/>
            </w:tcMar>
          </w:tcPr>
          <w:p>
            <w:pPr>
              <w:spacing w:after="40" w:before="40"/>
            </w:pPr>
            <w:r>
              <w:rPr>
                <w:rFonts w:ascii="Aptos" w:cs="Aptos" w:eastAsia="Aptos" w:hAnsi="Aptos"/>
                <w:sz w:val="16"/>
                <w:szCs w:val="16"/>
              </w:rPr>
              <w:t xml:space="preserve">Medium</w:t>
            </w:r>
          </w:p>
        </w:tc>
        <w:tc>
          <w:tcPr>
            <w:tcW w:type="dxa" w:w="5300"/>
            <w:tcMar>
              <w:top w:type="dxa" w:w="60"/>
              <w:left w:type="dxa" w:w="110"/>
              <w:bottom w:type="dxa" w:w="60"/>
              <w:right w:type="dxa" w:w="110"/>
            </w:tcMar>
          </w:tcPr>
          <w:p>
            <w:pPr>
              <w:spacing w:after="40" w:before="40"/>
            </w:pPr>
            <w:r>
              <w:rPr>
                <w:rFonts w:ascii="Aptos" w:cs="Aptos" w:eastAsia="Aptos" w:hAnsi="Aptos"/>
                <w:sz w:val="16"/>
                <w:szCs w:val="16"/>
              </w:rPr>
              <w:t xml:space="preserve">Written acknowledgement within two working days. Protective measures considered before investigation, and applied to the person complained about rather than the complainant. Four-week target, with written updates if it runs over. Right of appeal to someone not involved</w:t>
            </w:r>
          </w:p>
        </w:tc>
        <w:tc>
          <w:tcPr>
            <w:tcW w:type="dxa" w:w="2600"/>
            <w:tcMar>
              <w:top w:type="dxa" w:w="60"/>
              <w:left w:type="dxa" w:w="110"/>
              <w:bottom w:type="dxa" w:w="60"/>
              <w:right w:type="dxa" w:w="110"/>
            </w:tcMar>
          </w:tcPr>
          <w:p>
            <w:pPr>
              <w:spacing w:after="40" w:before="40"/>
            </w:pPr>
            <w:r>
              <w:rPr>
                <w:rFonts w:ascii="Aptos" w:cs="Aptos" w:eastAsia="Aptos" w:hAnsi="Aptos"/>
                <w:sz w:val="16"/>
                <w:szCs w:val="16"/>
              </w:rPr>
              <w:t xml:space="preserve">The Managing Director to read the process through before it is ever needed, and confirm at the annual review that they have</w:t>
            </w:r>
          </w:p>
        </w:tc>
      </w:tr>
      <w:tr>
        <w:tc>
          <w:tcPr>
            <w:tcW w:type="dxa" w:w="2200"/>
            <w:tcMar>
              <w:top w:type="dxa" w:w="60"/>
              <w:left w:type="dxa" w:w="110"/>
              <w:bottom w:type="dxa" w:w="60"/>
              <w:right w:type="dxa" w:w="110"/>
            </w:tcMar>
          </w:tcPr>
          <w:p>
            <w:pPr>
              <w:spacing w:after="40" w:before="40"/>
            </w:pPr>
            <w:r>
              <w:rPr>
                <w:rFonts w:ascii="Aptos" w:cs="Aptos" w:eastAsia="Aptos" w:hAnsi="Aptos"/>
                <w:sz w:val="16"/>
                <w:szCs w:val="16"/>
              </w:rPr>
              <w:t xml:space="preserve">Shift work, night working and rostering</w:t>
            </w:r>
          </w:p>
        </w:tc>
        <w:tc>
          <w:tcPr>
            <w:tcW w:type="dxa" w:w="3700"/>
            <w:tcMar>
              <w:top w:type="dxa" w:w="60"/>
              <w:left w:type="dxa" w:w="110"/>
              <w:bottom w:type="dxa" w:w="60"/>
              <w:right w:type="dxa" w:w="110"/>
            </w:tcMar>
          </w:tcPr>
          <w:p>
            <w:pPr>
              <w:spacing w:after="40" w:before="40"/>
            </w:pPr>
            <w:r>
              <w:rPr>
                <w:rFonts w:ascii="Aptos" w:cs="Aptos" w:eastAsia="Aptos" w:hAnsi="Aptos"/>
                <w:sz w:val="16"/>
                <w:szCs w:val="16"/>
              </w:rPr>
              <w:t xml:space="preserve">The Company does not operate shift working, night working or rostered lone patrols</w:t>
            </w:r>
          </w:p>
        </w:tc>
        <w:tc>
          <w:tcPr>
            <w:tcW w:type="dxa" w:w="800"/>
            <w:tcMar>
              <w:top w:type="dxa" w:w="60"/>
              <w:left w:type="dxa" w:w="110"/>
              <w:bottom w:type="dxa" w:w="60"/>
              <w:right w:type="dxa" w:w="110"/>
            </w:tcMar>
          </w:tcPr>
          <w:p>
            <w:pPr>
              <w:spacing w:after="40" w:before="40"/>
            </w:pPr>
            <w:r>
              <w:rPr>
                <w:rFonts w:ascii="Aptos" w:cs="Aptos" w:eastAsia="Aptos" w:hAnsi="Aptos"/>
                <w:sz w:val="16"/>
                <w:szCs w:val="16"/>
              </w:rPr>
              <w:t xml:space="preserve">N/A</w:t>
            </w:r>
          </w:p>
        </w:tc>
        <w:tc>
          <w:tcPr>
            <w:tcW w:type="dxa" w:w="5300"/>
            <w:tcMar>
              <w:top w:type="dxa" w:w="60"/>
              <w:left w:type="dxa" w:w="110"/>
              <w:bottom w:type="dxa" w:w="60"/>
              <w:right w:type="dxa" w:w="110"/>
            </w:tcMar>
          </w:tcPr>
          <w:p>
            <w:pPr>
              <w:spacing w:after="40" w:before="40"/>
            </w:pPr>
            <w:r>
              <w:rPr>
                <w:rFonts w:ascii="Aptos" w:cs="Aptos" w:eastAsia="Aptos" w:hAnsi="Aptos"/>
                <w:sz w:val="16"/>
                <w:szCs w:val="16"/>
              </w:rPr>
              <w:t xml:space="preserve">Recorded as considered. Where any out-of-hours or shift working is introduced, a manager is contactable throughout, and rostering avoids pairing anyone with a person against whom a concern has been raised</w:t>
            </w:r>
          </w:p>
        </w:tc>
        <w:tc>
          <w:tcPr>
            <w:tcW w:type="dxa" w:w="2600"/>
            <w:tcMar>
              <w:top w:type="dxa" w:w="60"/>
              <w:left w:type="dxa" w:w="110"/>
              <w:bottom w:type="dxa" w:w="60"/>
              <w:right w:type="dxa" w:w="110"/>
            </w:tcMar>
          </w:tcPr>
          <w:p>
            <w:pPr>
              <w:spacing w:after="40" w:before="40"/>
            </w:pPr>
            <w:r>
              <w:rPr>
                <w:rFonts w:ascii="Aptos" w:cs="Aptos" w:eastAsia="Aptos" w:hAnsi="Aptos"/>
                <w:sz w:val="16"/>
                <w:szCs w:val="16"/>
              </w:rPr>
              <w:t xml:space="preserve">Reassess if working patterns change</w:t>
            </w:r>
          </w:p>
        </w:tc>
      </w:tr>
      <w:tr>
        <w:tc>
          <w:tcPr>
            <w:tcW w:type="dxa" w:w="2200"/>
            <w:tcMar>
              <w:top w:type="dxa" w:w="60"/>
              <w:left w:type="dxa" w:w="110"/>
              <w:bottom w:type="dxa" w:w="60"/>
              <w:right w:type="dxa" w:w="110"/>
            </w:tcMar>
          </w:tcPr>
          <w:p>
            <w:pPr>
              <w:spacing w:after="40" w:before="40"/>
            </w:pPr>
            <w:r>
              <w:rPr>
                <w:rFonts w:ascii="Aptos" w:cs="Aptos" w:eastAsia="Aptos" w:hAnsi="Aptos"/>
                <w:sz w:val="16"/>
                <w:szCs w:val="16"/>
              </w:rPr>
              <w:t xml:space="preserve">Agency, subcontracted and temporary personnel</w:t>
            </w:r>
          </w:p>
        </w:tc>
        <w:tc>
          <w:tcPr>
            <w:tcW w:type="dxa" w:w="3700"/>
            <w:tcMar>
              <w:top w:type="dxa" w:w="60"/>
              <w:left w:type="dxa" w:w="110"/>
              <w:bottom w:type="dxa" w:w="60"/>
              <w:right w:type="dxa" w:w="110"/>
            </w:tcMar>
          </w:tcPr>
          <w:p>
            <w:pPr>
              <w:spacing w:after="40" w:before="40"/>
            </w:pPr>
            <w:r>
              <w:rPr>
                <w:rFonts w:ascii="Aptos" w:cs="Aptos" w:eastAsia="Aptos" w:hAnsi="Aptos"/>
                <w:sz w:val="16"/>
                <w:szCs w:val="16"/>
              </w:rPr>
              <w:t xml:space="preserve">The Company employs its people directly on PAYE and engages no agency workers, subcontractors or associates</w:t>
            </w:r>
          </w:p>
        </w:tc>
        <w:tc>
          <w:tcPr>
            <w:tcW w:type="dxa" w:w="800"/>
            <w:tcMar>
              <w:top w:type="dxa" w:w="60"/>
              <w:left w:type="dxa" w:w="110"/>
              <w:bottom w:type="dxa" w:w="60"/>
              <w:right w:type="dxa" w:w="110"/>
            </w:tcMar>
          </w:tcPr>
          <w:p>
            <w:pPr>
              <w:spacing w:after="40" w:before="40"/>
            </w:pPr>
            <w:r>
              <w:rPr>
                <w:rFonts w:ascii="Aptos" w:cs="Aptos" w:eastAsia="Aptos" w:hAnsi="Aptos"/>
                <w:sz w:val="16"/>
                <w:szCs w:val="16"/>
              </w:rPr>
              <w:t xml:space="preserve">N/A</w:t>
            </w:r>
          </w:p>
        </w:tc>
        <w:tc>
          <w:tcPr>
            <w:tcW w:type="dxa" w:w="5300"/>
            <w:tcMar>
              <w:top w:type="dxa" w:w="60"/>
              <w:left w:type="dxa" w:w="110"/>
              <w:bottom w:type="dxa" w:w="60"/>
              <w:right w:type="dxa" w:w="110"/>
            </w:tcMar>
          </w:tcPr>
          <w:p>
            <w:pPr>
              <w:spacing w:after="40" w:before="40"/>
            </w:pPr>
            <w:r>
              <w:rPr>
                <w:rFonts w:ascii="Aptos" w:cs="Aptos" w:eastAsia="Aptos" w:hAnsi="Aptos"/>
                <w:sz w:val="16"/>
                <w:szCs w:val="16"/>
              </w:rPr>
              <w:t xml:space="preserve">Recorded as considered. Anyone engaged on any other basis is issued with the conduct policies and the reporting routes card before their first day, and this assessment is redone</w:t>
            </w:r>
          </w:p>
        </w:tc>
        <w:tc>
          <w:tcPr>
            <w:tcW w:type="dxa" w:w="2600"/>
            <w:tcMar>
              <w:top w:type="dxa" w:w="60"/>
              <w:left w:type="dxa" w:w="110"/>
              <w:bottom w:type="dxa" w:w="60"/>
              <w:right w:type="dxa" w:w="110"/>
            </w:tcMar>
          </w:tcPr>
          <w:p>
            <w:pPr>
              <w:spacing w:after="40" w:before="40"/>
            </w:pPr>
            <w:r>
              <w:rPr>
                <w:rFonts w:ascii="Aptos" w:cs="Aptos" w:eastAsia="Aptos" w:hAnsi="Aptos"/>
                <w:sz w:val="16"/>
                <w:szCs w:val="16"/>
              </w:rPr>
              <w:t xml:space="preserve">Reassess before any first engagement of a non-employee</w:t>
            </w:r>
          </w:p>
        </w:tc>
      </w:tr>
      <w:tr>
        <w:tc>
          <w:tcPr>
            <w:tcW w:type="dxa" w:w="2200"/>
            <w:tcMar>
              <w:top w:type="dxa" w:w="60"/>
              <w:left w:type="dxa" w:w="110"/>
              <w:bottom w:type="dxa" w:w="60"/>
              <w:right w:type="dxa" w:w="110"/>
            </w:tcMar>
          </w:tcPr>
          <w:p>
            <w:pPr>
              <w:spacing w:after="40" w:before="40"/>
            </w:pPr>
            <w:r>
              <w:rPr>
                <w:rFonts w:ascii="Aptos" w:cs="Aptos" w:eastAsia="Aptos" w:hAnsi="Aptos"/>
                <w:sz w:val="16"/>
                <w:szCs w:val="16"/>
              </w:rPr>
              <w:t xml:space="preserve">Overnight stays and shared travel</w:t>
            </w:r>
          </w:p>
        </w:tc>
        <w:tc>
          <w:tcPr>
            <w:tcW w:type="dxa" w:w="3700"/>
            <w:tcMar>
              <w:top w:type="dxa" w:w="60"/>
              <w:left w:type="dxa" w:w="110"/>
              <w:bottom w:type="dxa" w:w="60"/>
              <w:right w:type="dxa" w:w="110"/>
            </w:tcMar>
          </w:tcPr>
          <w:p>
            <w:pPr>
              <w:spacing w:after="40" w:before="40"/>
            </w:pPr>
            <w:r>
              <w:rPr>
                <w:rFonts w:ascii="Aptos" w:cs="Aptos" w:eastAsia="Aptos" w:hAnsi="Aptos"/>
                <w:sz w:val="16"/>
                <w:szCs w:val="16"/>
              </w:rPr>
              <w:t xml:space="preserve">Work is UK-based and does not currently involve overnight stays or shared accommodation</w:t>
            </w:r>
          </w:p>
        </w:tc>
        <w:tc>
          <w:tcPr>
            <w:tcW w:type="dxa" w:w="800"/>
            <w:tcMar>
              <w:top w:type="dxa" w:w="60"/>
              <w:left w:type="dxa" w:w="110"/>
              <w:bottom w:type="dxa" w:w="60"/>
              <w:right w:type="dxa" w:w="110"/>
            </w:tcMar>
          </w:tcPr>
          <w:p>
            <w:pPr>
              <w:spacing w:after="40" w:before="40"/>
            </w:pPr>
            <w:r>
              <w:rPr>
                <w:rFonts w:ascii="Aptos" w:cs="Aptos" w:eastAsia="Aptos" w:hAnsi="Aptos"/>
                <w:sz w:val="16"/>
                <w:szCs w:val="16"/>
              </w:rPr>
              <w:t xml:space="preserve">N/A</w:t>
            </w:r>
          </w:p>
        </w:tc>
        <w:tc>
          <w:tcPr>
            <w:tcW w:type="dxa" w:w="5300"/>
            <w:tcMar>
              <w:top w:type="dxa" w:w="60"/>
              <w:left w:type="dxa" w:w="110"/>
              <w:bottom w:type="dxa" w:w="60"/>
              <w:right w:type="dxa" w:w="110"/>
            </w:tcMar>
          </w:tcPr>
          <w:p>
            <w:pPr>
              <w:spacing w:after="40" w:before="40"/>
            </w:pPr>
            <w:r>
              <w:rPr>
                <w:rFonts w:ascii="Aptos" w:cs="Aptos" w:eastAsia="Aptos" w:hAnsi="Aptos"/>
                <w:sz w:val="16"/>
                <w:szCs w:val="16"/>
              </w:rPr>
              <w:t xml:space="preserve">If overnight work arises, separate accommodation is booked as standard and no one is required to travel with a particular colleague</w:t>
            </w:r>
          </w:p>
        </w:tc>
        <w:tc>
          <w:tcPr>
            <w:tcW w:type="dxa" w:w="2600"/>
            <w:tcMar>
              <w:top w:type="dxa" w:w="60"/>
              <w:left w:type="dxa" w:w="110"/>
              <w:bottom w:type="dxa" w:w="60"/>
              <w:right w:type="dxa" w:w="110"/>
            </w:tcMar>
          </w:tcPr>
          <w:p>
            <w:pPr>
              <w:spacing w:after="40" w:before="40"/>
            </w:pPr>
            <w:r>
              <w:rPr>
                <w:rFonts w:ascii="Aptos" w:cs="Aptos" w:eastAsia="Aptos" w:hAnsi="Aptos"/>
                <w:sz w:val="16"/>
                <w:szCs w:val="16"/>
              </w:rPr>
              <w:t xml:space="preserve">Reassess if the client base changes</w:t>
            </w:r>
          </w:p>
        </w:tc>
      </w:tr>
    </w:tbl>
    <w:p>
      <w:r>
        <w:br w:type="page"/>
      </w:r>
    </w:p>
    <w:p>
      <w:pPr>
        <w:pStyle w:val="Heading1"/>
        <w:spacing w:after="120" w:before="320"/>
      </w:pPr>
      <w:r>
        <w:rPr>
          <w:rFonts w:ascii="Aptos Black" w:cs="Aptos Black" w:eastAsia="Aptos Black" w:hAnsi="Aptos Black"/>
          <w:b/>
          <w:bCs/>
          <w:color w:val="E3DE00"/>
          <w:sz w:val="32"/>
          <w:szCs w:val="32"/>
        </w:rPr>
        <w:t xml:space="preserve">SECTION 3: ACTION PLAN</w:t>
      </w:r>
    </w:p>
    <w:p>
      <w:pPr>
        <w:spacing w:after="140" w:line="264"/>
      </w:pPr>
      <w:r>
        <w:rPr>
          <w:rFonts w:ascii="Aptos" w:cs="Aptos" w:eastAsia="Aptos" w:hAnsi="Aptos"/>
          <w:color w:val="000000"/>
          <w:sz w:val="22"/>
          <w:szCs w:val="22"/>
        </w:rPr>
        <w:t xml:space="preserve">Eight actions, all of which the Managing Director can do without outside help apart from item 1. Nothing here requires a system the Company does not have.</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700"/>
        <w:gridCol w:w="6300"/>
        <w:gridCol w:w="2200"/>
        <w:gridCol w:w="2200"/>
        <w:gridCol w:w="3278"/>
      </w:tblGrid>
      <w:tr>
        <w:trPr>
          <w:tblHeader/>
        </w:trPr>
        <w:tc>
          <w:tcPr>
            <w:tcW w:type="dxa" w:w="70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18"/>
                <w:szCs w:val="18"/>
              </w:rPr>
              <w:t xml:space="preserve">No.</w:t>
            </w:r>
          </w:p>
        </w:tc>
        <w:tc>
          <w:tcPr>
            <w:tcW w:type="dxa" w:w="630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18"/>
                <w:szCs w:val="18"/>
              </w:rPr>
              <w:t xml:space="preserve">Action</w:t>
            </w:r>
          </w:p>
        </w:tc>
        <w:tc>
          <w:tcPr>
            <w:tcW w:type="dxa" w:w="220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18"/>
                <w:szCs w:val="18"/>
              </w:rPr>
              <w:t xml:space="preserve">Owner</w:t>
            </w:r>
          </w:p>
        </w:tc>
        <w:tc>
          <w:tcPr>
            <w:tcW w:type="dxa" w:w="220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18"/>
                <w:szCs w:val="18"/>
              </w:rPr>
              <w:t xml:space="preserve">Target date</w:t>
            </w:r>
          </w:p>
        </w:tc>
        <w:tc>
          <w:tcPr>
            <w:tcW w:type="dxa" w:w="3278"/>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18"/>
                <w:szCs w:val="18"/>
              </w:rPr>
              <w:t xml:space="preserve">Completed</w:t>
            </w:r>
          </w:p>
        </w:tc>
      </w:tr>
      <w:tr>
        <w:tc>
          <w:tcPr>
            <w:tcW w:type="dxa" w:w="700"/>
            <w:tcMar>
              <w:top w:type="dxa" w:w="60"/>
              <w:left w:type="dxa" w:w="110"/>
              <w:bottom w:type="dxa" w:w="60"/>
              <w:right w:type="dxa" w:w="110"/>
            </w:tcMar>
          </w:tcPr>
          <w:p>
            <w:pPr>
              <w:spacing w:after="40" w:before="40"/>
            </w:pPr>
            <w:r>
              <w:rPr>
                <w:rFonts w:ascii="Aptos" w:cs="Aptos" w:eastAsia="Aptos" w:hAnsi="Aptos"/>
                <w:sz w:val="18"/>
                <w:szCs w:val="18"/>
              </w:rPr>
              <w:t xml:space="preserve">1</w:t>
            </w:r>
          </w:p>
        </w:tc>
        <w:tc>
          <w:tcPr>
            <w:tcW w:type="dxa" w:w="6300"/>
            <w:tcMar>
              <w:top w:type="dxa" w:w="60"/>
              <w:left w:type="dxa" w:w="110"/>
              <w:bottom w:type="dxa" w:w="60"/>
              <w:right w:type="dxa" w:w="110"/>
            </w:tcMar>
          </w:tcPr>
          <w:p>
            <w:pPr>
              <w:spacing w:after="40" w:before="40"/>
            </w:pPr>
            <w:r>
              <w:rPr>
                <w:rFonts w:ascii="Aptos" w:cs="Aptos" w:eastAsia="Aptos" w:hAnsi="Aptos"/>
                <w:sz w:val="18"/>
                <w:szCs w:val="18"/>
              </w:rPr>
              <w:t xml:space="preserve">Record that concerns involving the Managing Director go to ACAS or Protect, and that an independent investigator is appointed at the time if one is needed</w:t>
            </w:r>
          </w:p>
        </w:tc>
        <w:tc>
          <w:tcPr>
            <w:tcW w:type="dxa" w:w="2200"/>
            <w:tcMar>
              <w:top w:type="dxa" w:w="60"/>
              <w:left w:type="dxa" w:w="110"/>
              <w:bottom w:type="dxa" w:w="60"/>
              <w:right w:type="dxa" w:w="110"/>
            </w:tcMar>
          </w:tcPr>
          <w:p>
            <w:pPr>
              <w:spacing w:after="40" w:before="40"/>
            </w:pPr>
            <w:r>
              <w:rPr>
                <w:rFonts w:ascii="Aptos" w:cs="Aptos" w:eastAsia="Aptos" w:hAnsi="Aptos"/>
                <w:sz w:val="18"/>
                <w:szCs w:val="18"/>
              </w:rPr>
              <w:t xml:space="preserve">Managing Director</w:t>
            </w:r>
          </w:p>
        </w:tc>
        <w:tc>
          <w:tcPr>
            <w:tcW w:type="dxa" w:w="2200"/>
            <w:tcMar>
              <w:top w:type="dxa" w:w="60"/>
              <w:left w:type="dxa" w:w="110"/>
              <w:bottom w:type="dxa" w:w="60"/>
              <w:right w:type="dxa" w:w="110"/>
            </w:tcMar>
          </w:tcPr>
          <w:p>
            <w:pPr>
              <w:spacing w:after="40" w:before="40"/>
            </w:pPr>
            <w:commentRangeStart w:id="6"/>
            <w:r>
              <w:rPr>
                <w:rFonts w:ascii="Aptos" w:cs="Aptos" w:eastAsia="Aptos" w:hAnsi="Aptos"/>
                <w:sz w:val="18"/>
                <w:szCs w:val="18"/>
                <w:highlight w:val="yellow"/>
              </w:rPr>
              <w:t xml:space="preserve">30/09/2026</w:t>
            </w:r>
            <w:commentRangeEnd w:id="6"/>
            <w:r>
              <w:commentReference w:id="6"/>
            </w:r>
          </w:p>
        </w:tc>
        <w:tc>
          <w:tcPr>
            <w:tcW w:type="dxa" w:w="3278"/>
            <w:tcMar>
              <w:top w:type="dxa" w:w="60"/>
              <w:left w:type="dxa" w:w="110"/>
              <w:bottom w:type="dxa" w:w="60"/>
              <w:right w:type="dxa" w:w="110"/>
            </w:tcMar>
          </w:tcPr>
          <w:p>
            <w:pPr>
              <w:spacing w:after="40" w:before="40"/>
            </w:pPr>
            <w:r>
              <w:rPr>
                <w:rFonts w:ascii="Aptos" w:cs="Aptos" w:eastAsia="Aptos" w:hAnsi="Aptos"/>
                <w:sz w:val="18"/>
                <w:szCs w:val="18"/>
              </w:rPr>
              <w:t xml:space="preserve"/>
            </w:r>
          </w:p>
        </w:tc>
      </w:tr>
      <w:tr>
        <w:tc>
          <w:tcPr>
            <w:tcW w:type="dxa" w:w="700"/>
            <w:tcMar>
              <w:top w:type="dxa" w:w="60"/>
              <w:left w:type="dxa" w:w="110"/>
              <w:bottom w:type="dxa" w:w="60"/>
              <w:right w:type="dxa" w:w="110"/>
            </w:tcMar>
          </w:tcPr>
          <w:p>
            <w:pPr>
              <w:spacing w:after="40" w:before="40"/>
            </w:pPr>
            <w:r>
              <w:rPr>
                <w:rFonts w:ascii="Aptos" w:cs="Aptos" w:eastAsia="Aptos" w:hAnsi="Aptos"/>
                <w:sz w:val="18"/>
                <w:szCs w:val="18"/>
              </w:rPr>
              <w:t xml:space="preserve">2</w:t>
            </w:r>
          </w:p>
        </w:tc>
        <w:tc>
          <w:tcPr>
            <w:tcW w:type="dxa" w:w="6300"/>
            <w:tcMar>
              <w:top w:type="dxa" w:w="60"/>
              <w:left w:type="dxa" w:w="110"/>
              <w:bottom w:type="dxa" w:w="60"/>
              <w:right w:type="dxa" w:w="110"/>
            </w:tcMar>
          </w:tcPr>
          <w:p>
            <w:pPr>
              <w:spacing w:after="40" w:before="40"/>
            </w:pPr>
            <w:r>
              <w:rPr>
                <w:rFonts w:ascii="Aptos" w:cs="Aptos" w:eastAsia="Aptos" w:hAnsi="Aptos"/>
                <w:sz w:val="18"/>
                <w:szCs w:val="18"/>
              </w:rPr>
              <w:t xml:space="preserve">Produce a one-page reporting routes card, including Protect, ACAS and EASS numbers, and issue it to everyone in the team with the policy pack</w:t>
            </w:r>
          </w:p>
        </w:tc>
        <w:tc>
          <w:tcPr>
            <w:tcW w:type="dxa" w:w="2200"/>
            <w:tcMar>
              <w:top w:type="dxa" w:w="60"/>
              <w:left w:type="dxa" w:w="110"/>
              <w:bottom w:type="dxa" w:w="60"/>
              <w:right w:type="dxa" w:w="110"/>
            </w:tcMar>
          </w:tcPr>
          <w:p>
            <w:pPr>
              <w:spacing w:after="40" w:before="40"/>
            </w:pPr>
            <w:r>
              <w:rPr>
                <w:rFonts w:ascii="Aptos" w:cs="Aptos" w:eastAsia="Aptos" w:hAnsi="Aptos"/>
                <w:sz w:val="18"/>
                <w:szCs w:val="18"/>
              </w:rPr>
              <w:t xml:space="preserve">Managing Director</w:t>
            </w:r>
          </w:p>
        </w:tc>
        <w:tc>
          <w:tcPr>
            <w:tcW w:type="dxa" w:w="2200"/>
            <w:tcMar>
              <w:top w:type="dxa" w:w="60"/>
              <w:left w:type="dxa" w:w="110"/>
              <w:bottom w:type="dxa" w:w="60"/>
              <w:right w:type="dxa" w:w="110"/>
            </w:tcMar>
          </w:tcPr>
          <w:p>
            <w:pPr>
              <w:spacing w:after="40" w:before="40"/>
            </w:pPr>
            <w:commentRangeStart w:id="7"/>
            <w:r>
              <w:rPr>
                <w:rFonts w:ascii="Aptos" w:cs="Aptos" w:eastAsia="Aptos" w:hAnsi="Aptos"/>
                <w:sz w:val="18"/>
                <w:szCs w:val="18"/>
                <w:highlight w:val="yellow"/>
              </w:rPr>
              <w:t xml:space="preserve">30/09/2026</w:t>
            </w:r>
            <w:commentRangeEnd w:id="7"/>
            <w:r>
              <w:commentReference w:id="7"/>
            </w:r>
          </w:p>
        </w:tc>
        <w:tc>
          <w:tcPr>
            <w:tcW w:type="dxa" w:w="3278"/>
            <w:tcMar>
              <w:top w:type="dxa" w:w="60"/>
              <w:left w:type="dxa" w:w="110"/>
              <w:bottom w:type="dxa" w:w="60"/>
              <w:right w:type="dxa" w:w="110"/>
            </w:tcMar>
          </w:tcPr>
          <w:p>
            <w:pPr>
              <w:spacing w:after="40" w:before="40"/>
            </w:pPr>
            <w:r>
              <w:rPr>
                <w:rFonts w:ascii="Aptos" w:cs="Aptos" w:eastAsia="Aptos" w:hAnsi="Aptos"/>
                <w:sz w:val="18"/>
                <w:szCs w:val="18"/>
              </w:rPr>
              <w:t xml:space="preserve"/>
            </w:r>
          </w:p>
        </w:tc>
      </w:tr>
      <w:tr>
        <w:tc>
          <w:tcPr>
            <w:tcW w:type="dxa" w:w="700"/>
            <w:tcMar>
              <w:top w:type="dxa" w:w="60"/>
              <w:left w:type="dxa" w:w="110"/>
              <w:bottom w:type="dxa" w:w="60"/>
              <w:right w:type="dxa" w:w="110"/>
            </w:tcMar>
          </w:tcPr>
          <w:p>
            <w:pPr>
              <w:spacing w:after="40" w:before="40"/>
            </w:pPr>
            <w:r>
              <w:rPr>
                <w:rFonts w:ascii="Aptos" w:cs="Aptos" w:eastAsia="Aptos" w:hAnsi="Aptos"/>
                <w:sz w:val="18"/>
                <w:szCs w:val="18"/>
              </w:rPr>
              <w:t xml:space="preserve">3</w:t>
            </w:r>
          </w:p>
        </w:tc>
        <w:tc>
          <w:tcPr>
            <w:tcW w:type="dxa" w:w="6300"/>
            <w:tcMar>
              <w:top w:type="dxa" w:w="60"/>
              <w:left w:type="dxa" w:w="110"/>
              <w:bottom w:type="dxa" w:w="60"/>
              <w:right w:type="dxa" w:w="110"/>
            </w:tcMar>
          </w:tcPr>
          <w:p>
            <w:pPr>
              <w:spacing w:after="40" w:before="40"/>
            </w:pPr>
            <w:r>
              <w:rPr>
                <w:rFonts w:ascii="Aptos" w:cs="Aptos" w:eastAsia="Aptos" w:hAnsi="Aptos"/>
                <w:sz w:val="18"/>
                <w:szCs w:val="18"/>
              </w:rPr>
              <w:t xml:space="preserve">Hold the annual team briefing covering this policy, digital conduct, harassment by clients and contractors, and the commitment that no one is expected to tolerate a client's behaviour to protect a fee. Minute it and have everyone sign the attendance record</w:t>
            </w:r>
          </w:p>
        </w:tc>
        <w:tc>
          <w:tcPr>
            <w:tcW w:type="dxa" w:w="2200"/>
            <w:tcMar>
              <w:top w:type="dxa" w:w="60"/>
              <w:left w:type="dxa" w:w="110"/>
              <w:bottom w:type="dxa" w:w="60"/>
              <w:right w:type="dxa" w:w="110"/>
            </w:tcMar>
          </w:tcPr>
          <w:p>
            <w:pPr>
              <w:spacing w:after="40" w:before="40"/>
            </w:pPr>
            <w:r>
              <w:rPr>
                <w:rFonts w:ascii="Aptos" w:cs="Aptos" w:eastAsia="Aptos" w:hAnsi="Aptos"/>
                <w:sz w:val="18"/>
                <w:szCs w:val="18"/>
              </w:rPr>
              <w:t xml:space="preserve">Managing Director</w:t>
            </w:r>
          </w:p>
        </w:tc>
        <w:tc>
          <w:tcPr>
            <w:tcW w:type="dxa" w:w="2200"/>
            <w:tcMar>
              <w:top w:type="dxa" w:w="60"/>
              <w:left w:type="dxa" w:w="110"/>
              <w:bottom w:type="dxa" w:w="60"/>
              <w:right w:type="dxa" w:w="110"/>
            </w:tcMar>
          </w:tcPr>
          <w:p>
            <w:pPr>
              <w:spacing w:after="40" w:before="40"/>
            </w:pPr>
            <w:commentRangeStart w:id="8"/>
            <w:r>
              <w:rPr>
                <w:rFonts w:ascii="Aptos" w:cs="Aptos" w:eastAsia="Aptos" w:hAnsi="Aptos"/>
                <w:sz w:val="18"/>
                <w:szCs w:val="18"/>
                <w:highlight w:val="yellow"/>
              </w:rPr>
              <w:t xml:space="preserve">31/10/2026</w:t>
            </w:r>
            <w:commentRangeEnd w:id="8"/>
            <w:r>
              <w:commentReference w:id="8"/>
            </w:r>
          </w:p>
        </w:tc>
        <w:tc>
          <w:tcPr>
            <w:tcW w:type="dxa" w:w="3278"/>
            <w:tcMar>
              <w:top w:type="dxa" w:w="60"/>
              <w:left w:type="dxa" w:w="110"/>
              <w:bottom w:type="dxa" w:w="60"/>
              <w:right w:type="dxa" w:w="110"/>
            </w:tcMar>
          </w:tcPr>
          <w:p>
            <w:pPr>
              <w:spacing w:after="40" w:before="40"/>
            </w:pPr>
            <w:r>
              <w:rPr>
                <w:rFonts w:ascii="Aptos" w:cs="Aptos" w:eastAsia="Aptos" w:hAnsi="Aptos"/>
                <w:sz w:val="18"/>
                <w:szCs w:val="18"/>
              </w:rPr>
              <w:t xml:space="preserve"/>
            </w:r>
          </w:p>
        </w:tc>
      </w:tr>
      <w:tr>
        <w:tc>
          <w:tcPr>
            <w:tcW w:type="dxa" w:w="700"/>
            <w:tcMar>
              <w:top w:type="dxa" w:w="60"/>
              <w:left w:type="dxa" w:w="110"/>
              <w:bottom w:type="dxa" w:w="60"/>
              <w:right w:type="dxa" w:w="110"/>
            </w:tcMar>
          </w:tcPr>
          <w:p>
            <w:pPr>
              <w:spacing w:after="40" w:before="40"/>
            </w:pPr>
            <w:r>
              <w:rPr>
                <w:rFonts w:ascii="Aptos" w:cs="Aptos" w:eastAsia="Aptos" w:hAnsi="Aptos"/>
                <w:sz w:val="18"/>
                <w:szCs w:val="18"/>
              </w:rPr>
              <w:t xml:space="preserve">4</w:t>
            </w:r>
          </w:p>
        </w:tc>
        <w:tc>
          <w:tcPr>
            <w:tcW w:type="dxa" w:w="6300"/>
            <w:tcMar>
              <w:top w:type="dxa" w:w="60"/>
              <w:left w:type="dxa" w:w="110"/>
              <w:bottom w:type="dxa" w:w="60"/>
              <w:right w:type="dxa" w:w="110"/>
            </w:tcMar>
          </w:tcPr>
          <w:p>
            <w:pPr>
              <w:spacing w:after="40" w:before="40"/>
            </w:pPr>
            <w:r>
              <w:rPr>
                <w:rFonts w:ascii="Aptos" w:cs="Aptos" w:eastAsia="Aptos" w:hAnsi="Aptos"/>
                <w:sz w:val="18"/>
                <w:szCs w:val="18"/>
              </w:rPr>
              <w:t xml:space="preserve">Enrol every employee on a short online sexual harassment awareness course and save the certificates</w:t>
            </w:r>
          </w:p>
        </w:tc>
        <w:tc>
          <w:tcPr>
            <w:tcW w:type="dxa" w:w="2200"/>
            <w:tcMar>
              <w:top w:type="dxa" w:w="60"/>
              <w:left w:type="dxa" w:w="110"/>
              <w:bottom w:type="dxa" w:w="60"/>
              <w:right w:type="dxa" w:w="110"/>
            </w:tcMar>
          </w:tcPr>
          <w:p>
            <w:pPr>
              <w:spacing w:after="40" w:before="40"/>
            </w:pPr>
            <w:r>
              <w:rPr>
                <w:rFonts w:ascii="Aptos" w:cs="Aptos" w:eastAsia="Aptos" w:hAnsi="Aptos"/>
                <w:sz w:val="18"/>
                <w:szCs w:val="18"/>
              </w:rPr>
              <w:t xml:space="preserve">Managing Director</w:t>
            </w:r>
          </w:p>
        </w:tc>
        <w:tc>
          <w:tcPr>
            <w:tcW w:type="dxa" w:w="2200"/>
            <w:tcMar>
              <w:top w:type="dxa" w:w="60"/>
              <w:left w:type="dxa" w:w="110"/>
              <w:bottom w:type="dxa" w:w="60"/>
              <w:right w:type="dxa" w:w="110"/>
            </w:tcMar>
          </w:tcPr>
          <w:p>
            <w:pPr>
              <w:spacing w:after="40" w:before="40"/>
            </w:pPr>
            <w:commentRangeStart w:id="9"/>
            <w:r>
              <w:rPr>
                <w:rFonts w:ascii="Aptos" w:cs="Aptos" w:eastAsia="Aptos" w:hAnsi="Aptos"/>
                <w:sz w:val="18"/>
                <w:szCs w:val="18"/>
                <w:highlight w:val="yellow"/>
              </w:rPr>
              <w:t xml:space="preserve">31/10/2026</w:t>
            </w:r>
            <w:commentRangeEnd w:id="9"/>
            <w:r>
              <w:commentReference w:id="9"/>
            </w:r>
          </w:p>
        </w:tc>
        <w:tc>
          <w:tcPr>
            <w:tcW w:type="dxa" w:w="3278"/>
            <w:tcMar>
              <w:top w:type="dxa" w:w="60"/>
              <w:left w:type="dxa" w:w="110"/>
              <w:bottom w:type="dxa" w:w="60"/>
              <w:right w:type="dxa" w:w="110"/>
            </w:tcMar>
          </w:tcPr>
          <w:p>
            <w:pPr>
              <w:spacing w:after="40" w:before="40"/>
            </w:pPr>
            <w:r>
              <w:rPr>
                <w:rFonts w:ascii="Aptos" w:cs="Aptos" w:eastAsia="Aptos" w:hAnsi="Aptos"/>
                <w:sz w:val="18"/>
                <w:szCs w:val="18"/>
              </w:rPr>
              <w:t xml:space="preserve"/>
            </w:r>
          </w:p>
        </w:tc>
      </w:tr>
      <w:tr>
        <w:tc>
          <w:tcPr>
            <w:tcW w:type="dxa" w:w="700"/>
            <w:tcMar>
              <w:top w:type="dxa" w:w="60"/>
              <w:left w:type="dxa" w:w="110"/>
              <w:bottom w:type="dxa" w:w="60"/>
              <w:right w:type="dxa" w:w="110"/>
            </w:tcMar>
          </w:tcPr>
          <w:p>
            <w:pPr>
              <w:spacing w:after="40" w:before="40"/>
            </w:pPr>
            <w:r>
              <w:rPr>
                <w:rFonts w:ascii="Aptos" w:cs="Aptos" w:eastAsia="Aptos" w:hAnsi="Aptos"/>
                <w:sz w:val="18"/>
                <w:szCs w:val="18"/>
              </w:rPr>
              <w:t xml:space="preserve">5</w:t>
            </w:r>
          </w:p>
        </w:tc>
        <w:tc>
          <w:tcPr>
            <w:tcW w:type="dxa" w:w="6300"/>
            <w:tcMar>
              <w:top w:type="dxa" w:w="60"/>
              <w:left w:type="dxa" w:w="110"/>
              <w:bottom w:type="dxa" w:w="60"/>
              <w:right w:type="dxa" w:w="110"/>
            </w:tcMar>
          </w:tcPr>
          <w:p>
            <w:pPr>
              <w:spacing w:after="40" w:before="40"/>
            </w:pPr>
            <w:r>
              <w:rPr>
                <w:rFonts w:ascii="Aptos" w:cs="Aptos" w:eastAsia="Aptos" w:hAnsi="Aptos"/>
                <w:sz w:val="18"/>
                <w:szCs w:val="18"/>
              </w:rPr>
              <w:t xml:space="preserve">The Managing Director to read the reporting and investigation process at Section 4 of the policy in full, and confirm they have done so</w:t>
            </w:r>
          </w:p>
        </w:tc>
        <w:tc>
          <w:tcPr>
            <w:tcW w:type="dxa" w:w="2200"/>
            <w:tcMar>
              <w:top w:type="dxa" w:w="60"/>
              <w:left w:type="dxa" w:w="110"/>
              <w:bottom w:type="dxa" w:w="60"/>
              <w:right w:type="dxa" w:w="110"/>
            </w:tcMar>
          </w:tcPr>
          <w:p>
            <w:pPr>
              <w:spacing w:after="40" w:before="40"/>
            </w:pPr>
            <w:r>
              <w:rPr>
                <w:rFonts w:ascii="Aptos" w:cs="Aptos" w:eastAsia="Aptos" w:hAnsi="Aptos"/>
                <w:sz w:val="18"/>
                <w:szCs w:val="18"/>
              </w:rPr>
              <w:t xml:space="preserve">Managing Director</w:t>
            </w:r>
          </w:p>
        </w:tc>
        <w:tc>
          <w:tcPr>
            <w:tcW w:type="dxa" w:w="2200"/>
            <w:tcMar>
              <w:top w:type="dxa" w:w="60"/>
              <w:left w:type="dxa" w:w="110"/>
              <w:bottom w:type="dxa" w:w="60"/>
              <w:right w:type="dxa" w:w="110"/>
            </w:tcMar>
          </w:tcPr>
          <w:p>
            <w:pPr>
              <w:spacing w:after="40" w:before="40"/>
            </w:pPr>
            <w:commentRangeStart w:id="10"/>
            <w:r>
              <w:rPr>
                <w:rFonts w:ascii="Aptos" w:cs="Aptos" w:eastAsia="Aptos" w:hAnsi="Aptos"/>
                <w:sz w:val="18"/>
                <w:szCs w:val="18"/>
                <w:highlight w:val="yellow"/>
              </w:rPr>
              <w:t xml:space="preserve">31/10/2026</w:t>
            </w:r>
            <w:commentRangeEnd w:id="10"/>
            <w:r>
              <w:commentReference w:id="10"/>
            </w:r>
          </w:p>
        </w:tc>
        <w:tc>
          <w:tcPr>
            <w:tcW w:type="dxa" w:w="3278"/>
            <w:tcMar>
              <w:top w:type="dxa" w:w="60"/>
              <w:left w:type="dxa" w:w="110"/>
              <w:bottom w:type="dxa" w:w="60"/>
              <w:right w:type="dxa" w:w="110"/>
            </w:tcMar>
          </w:tcPr>
          <w:p>
            <w:pPr>
              <w:spacing w:after="40" w:before="40"/>
            </w:pPr>
            <w:r>
              <w:rPr>
                <w:rFonts w:ascii="Aptos" w:cs="Aptos" w:eastAsia="Aptos" w:hAnsi="Aptos"/>
                <w:sz w:val="18"/>
                <w:szCs w:val="18"/>
              </w:rPr>
              <w:t xml:space="preserve"/>
            </w:r>
          </w:p>
        </w:tc>
      </w:tr>
      <w:tr>
        <w:tc>
          <w:tcPr>
            <w:tcW w:type="dxa" w:w="700"/>
            <w:tcMar>
              <w:top w:type="dxa" w:w="60"/>
              <w:left w:type="dxa" w:w="110"/>
              <w:bottom w:type="dxa" w:w="60"/>
              <w:right w:type="dxa" w:w="110"/>
            </w:tcMar>
          </w:tcPr>
          <w:p>
            <w:pPr>
              <w:spacing w:after="40" w:before="40"/>
            </w:pPr>
            <w:r>
              <w:rPr>
                <w:rFonts w:ascii="Aptos" w:cs="Aptos" w:eastAsia="Aptos" w:hAnsi="Aptos"/>
                <w:sz w:val="18"/>
                <w:szCs w:val="18"/>
              </w:rPr>
              <w:t xml:space="preserve">6</w:t>
            </w:r>
          </w:p>
        </w:tc>
        <w:tc>
          <w:tcPr>
            <w:tcW w:type="dxa" w:w="6300"/>
            <w:tcMar>
              <w:top w:type="dxa" w:w="60"/>
              <w:left w:type="dxa" w:w="110"/>
              <w:bottom w:type="dxa" w:w="60"/>
              <w:right w:type="dxa" w:w="110"/>
            </w:tcMar>
          </w:tcPr>
          <w:p>
            <w:pPr>
              <w:spacing w:after="40" w:before="40"/>
            </w:pPr>
            <w:r>
              <w:rPr>
                <w:rFonts w:ascii="Aptos" w:cs="Aptos" w:eastAsia="Aptos" w:hAnsi="Aptos"/>
                <w:sz w:val="18"/>
                <w:szCs w:val="18"/>
              </w:rPr>
              <w:t xml:space="preserve">Add a direct question on this policy to the annual review template, and a first-month check-in to the New Starter Checklist</w:t>
            </w:r>
          </w:p>
        </w:tc>
        <w:tc>
          <w:tcPr>
            <w:tcW w:type="dxa" w:w="2200"/>
            <w:tcMar>
              <w:top w:type="dxa" w:w="60"/>
              <w:left w:type="dxa" w:w="110"/>
              <w:bottom w:type="dxa" w:w="60"/>
              <w:right w:type="dxa" w:w="110"/>
            </w:tcMar>
          </w:tcPr>
          <w:p>
            <w:pPr>
              <w:spacing w:after="40" w:before="40"/>
            </w:pPr>
            <w:r>
              <w:rPr>
                <w:rFonts w:ascii="Aptos" w:cs="Aptos" w:eastAsia="Aptos" w:hAnsi="Aptos"/>
                <w:sz w:val="18"/>
                <w:szCs w:val="18"/>
              </w:rPr>
              <w:t xml:space="preserve">Managing Director</w:t>
            </w:r>
          </w:p>
        </w:tc>
        <w:tc>
          <w:tcPr>
            <w:tcW w:type="dxa" w:w="2200"/>
            <w:tcMar>
              <w:top w:type="dxa" w:w="60"/>
              <w:left w:type="dxa" w:w="110"/>
              <w:bottom w:type="dxa" w:w="60"/>
              <w:right w:type="dxa" w:w="110"/>
            </w:tcMar>
          </w:tcPr>
          <w:p>
            <w:pPr>
              <w:spacing w:after="40" w:before="40"/>
            </w:pPr>
            <w:commentRangeStart w:id="11"/>
            <w:r>
              <w:rPr>
                <w:rFonts w:ascii="Aptos" w:cs="Aptos" w:eastAsia="Aptos" w:hAnsi="Aptos"/>
                <w:sz w:val="18"/>
                <w:szCs w:val="18"/>
                <w:highlight w:val="yellow"/>
              </w:rPr>
              <w:t xml:space="preserve">31/10/2026</w:t>
            </w:r>
            <w:commentRangeEnd w:id="11"/>
            <w:r>
              <w:commentReference w:id="11"/>
            </w:r>
          </w:p>
        </w:tc>
        <w:tc>
          <w:tcPr>
            <w:tcW w:type="dxa" w:w="3278"/>
            <w:tcMar>
              <w:top w:type="dxa" w:w="60"/>
              <w:left w:type="dxa" w:w="110"/>
              <w:bottom w:type="dxa" w:w="60"/>
              <w:right w:type="dxa" w:w="110"/>
            </w:tcMar>
          </w:tcPr>
          <w:p>
            <w:pPr>
              <w:spacing w:after="40" w:before="40"/>
            </w:pPr>
            <w:r>
              <w:rPr>
                <w:rFonts w:ascii="Aptos" w:cs="Aptos" w:eastAsia="Aptos" w:hAnsi="Aptos"/>
                <w:sz w:val="18"/>
                <w:szCs w:val="18"/>
              </w:rPr>
              <w:t xml:space="preserve"/>
            </w:r>
          </w:p>
        </w:tc>
      </w:tr>
      <w:tr>
        <w:tc>
          <w:tcPr>
            <w:tcW w:type="dxa" w:w="700"/>
            <w:tcMar>
              <w:top w:type="dxa" w:w="60"/>
              <w:left w:type="dxa" w:w="110"/>
              <w:bottom w:type="dxa" w:w="60"/>
              <w:right w:type="dxa" w:w="110"/>
            </w:tcMar>
          </w:tcPr>
          <w:p>
            <w:pPr>
              <w:spacing w:after="40" w:before="40"/>
            </w:pPr>
            <w:r>
              <w:rPr>
                <w:rFonts w:ascii="Aptos" w:cs="Aptos" w:eastAsia="Aptos" w:hAnsi="Aptos"/>
                <w:sz w:val="18"/>
                <w:szCs w:val="18"/>
              </w:rPr>
              <w:t xml:space="preserve">7</w:t>
            </w:r>
          </w:p>
        </w:tc>
        <w:tc>
          <w:tcPr>
            <w:tcW w:type="dxa" w:w="6300"/>
            <w:tcMar>
              <w:top w:type="dxa" w:w="60"/>
              <w:left w:type="dxa" w:w="110"/>
              <w:bottom w:type="dxa" w:w="60"/>
              <w:right w:type="dxa" w:w="110"/>
            </w:tcMar>
          </w:tcPr>
          <w:p>
            <w:pPr>
              <w:spacing w:after="40" w:before="40"/>
            </w:pPr>
            <w:r>
              <w:rPr>
                <w:rFonts w:ascii="Aptos" w:cs="Aptos" w:eastAsia="Aptos" w:hAnsi="Aptos"/>
                <w:sz w:val="18"/>
                <w:szCs w:val="18"/>
              </w:rPr>
              <w:t xml:space="preserve">Start the incident record, covering internal and third-party concerns, and record a nil return where there is nothing to report</w:t>
            </w:r>
          </w:p>
        </w:tc>
        <w:tc>
          <w:tcPr>
            <w:tcW w:type="dxa" w:w="2200"/>
            <w:tcMar>
              <w:top w:type="dxa" w:w="60"/>
              <w:left w:type="dxa" w:w="110"/>
              <w:bottom w:type="dxa" w:w="60"/>
              <w:right w:type="dxa" w:w="110"/>
            </w:tcMar>
          </w:tcPr>
          <w:p>
            <w:pPr>
              <w:spacing w:after="40" w:before="40"/>
            </w:pPr>
            <w:r>
              <w:rPr>
                <w:rFonts w:ascii="Aptos" w:cs="Aptos" w:eastAsia="Aptos" w:hAnsi="Aptos"/>
                <w:sz w:val="18"/>
                <w:szCs w:val="18"/>
              </w:rPr>
              <w:t xml:space="preserve">Managing Director</w:t>
            </w:r>
          </w:p>
        </w:tc>
        <w:tc>
          <w:tcPr>
            <w:tcW w:type="dxa" w:w="2200"/>
            <w:tcMar>
              <w:top w:type="dxa" w:w="60"/>
              <w:left w:type="dxa" w:w="110"/>
              <w:bottom w:type="dxa" w:w="60"/>
              <w:right w:type="dxa" w:w="110"/>
            </w:tcMar>
          </w:tcPr>
          <w:p>
            <w:pPr>
              <w:spacing w:after="40" w:before="40"/>
            </w:pPr>
            <w:commentRangeStart w:id="12"/>
            <w:r>
              <w:rPr>
                <w:rFonts w:ascii="Aptos" w:cs="Aptos" w:eastAsia="Aptos" w:hAnsi="Aptos"/>
                <w:sz w:val="18"/>
                <w:szCs w:val="18"/>
                <w:highlight w:val="yellow"/>
              </w:rPr>
              <w:t xml:space="preserve">30/09/2026</w:t>
            </w:r>
            <w:commentRangeEnd w:id="12"/>
            <w:r>
              <w:commentReference w:id="12"/>
            </w:r>
          </w:p>
        </w:tc>
        <w:tc>
          <w:tcPr>
            <w:tcW w:type="dxa" w:w="3278"/>
            <w:tcMar>
              <w:top w:type="dxa" w:w="60"/>
              <w:left w:type="dxa" w:w="110"/>
              <w:bottom w:type="dxa" w:w="60"/>
              <w:right w:type="dxa" w:w="110"/>
            </w:tcMar>
          </w:tcPr>
          <w:p>
            <w:pPr>
              <w:spacing w:after="40" w:before="40"/>
            </w:pPr>
            <w:r>
              <w:rPr>
                <w:rFonts w:ascii="Aptos" w:cs="Aptos" w:eastAsia="Aptos" w:hAnsi="Aptos"/>
                <w:sz w:val="18"/>
                <w:szCs w:val="18"/>
              </w:rPr>
              <w:t xml:space="preserve"/>
            </w:r>
          </w:p>
        </w:tc>
      </w:tr>
      <w:tr>
        <w:tc>
          <w:tcPr>
            <w:tcW w:type="dxa" w:w="700"/>
            <w:tcMar>
              <w:top w:type="dxa" w:w="60"/>
              <w:left w:type="dxa" w:w="110"/>
              <w:bottom w:type="dxa" w:w="60"/>
              <w:right w:type="dxa" w:w="110"/>
            </w:tcMar>
          </w:tcPr>
          <w:p>
            <w:pPr>
              <w:spacing w:after="40" w:before="40"/>
            </w:pPr>
            <w:r>
              <w:rPr>
                <w:rFonts w:ascii="Aptos" w:cs="Aptos" w:eastAsia="Aptos" w:hAnsi="Aptos"/>
                <w:sz w:val="18"/>
                <w:szCs w:val="18"/>
              </w:rPr>
              <w:t xml:space="preserve">8</w:t>
            </w:r>
          </w:p>
        </w:tc>
        <w:tc>
          <w:tcPr>
            <w:tcW w:type="dxa" w:w="6300"/>
            <w:tcMar>
              <w:top w:type="dxa" w:w="60"/>
              <w:left w:type="dxa" w:w="110"/>
              <w:bottom w:type="dxa" w:w="60"/>
              <w:right w:type="dxa" w:w="110"/>
            </w:tcMar>
          </w:tcPr>
          <w:p>
            <w:pPr>
              <w:spacing w:after="40" w:before="40"/>
            </w:pPr>
            <w:r>
              <w:rPr>
                <w:rFonts w:ascii="Aptos" w:cs="Aptos" w:eastAsia="Aptos" w:hAnsi="Aptos"/>
                <w:sz w:val="18"/>
                <w:szCs w:val="18"/>
              </w:rPr>
              <w:t xml:space="preserve">Review this assessment against the regulations expected to define all reasonable steps following the changes in force from 30 ⟦issueMonth⟧</w:t>
            </w:r>
          </w:p>
        </w:tc>
        <w:tc>
          <w:tcPr>
            <w:tcW w:type="dxa" w:w="2200"/>
            <w:tcMar>
              <w:top w:type="dxa" w:w="60"/>
              <w:left w:type="dxa" w:w="110"/>
              <w:bottom w:type="dxa" w:w="60"/>
              <w:right w:type="dxa" w:w="110"/>
            </w:tcMar>
          </w:tcPr>
          <w:p>
            <w:pPr>
              <w:spacing w:after="40" w:before="40"/>
            </w:pPr>
            <w:r>
              <w:rPr>
                <w:rFonts w:ascii="Aptos" w:cs="Aptos" w:eastAsia="Aptos" w:hAnsi="Aptos"/>
                <w:sz w:val="18"/>
                <w:szCs w:val="18"/>
              </w:rPr>
              <w:t xml:space="preserve">Managing Director</w:t>
            </w:r>
          </w:p>
        </w:tc>
        <w:tc>
          <w:tcPr>
            <w:tcW w:type="dxa" w:w="2200"/>
            <w:tcMar>
              <w:top w:type="dxa" w:w="60"/>
              <w:left w:type="dxa" w:w="110"/>
              <w:bottom w:type="dxa" w:w="60"/>
              <w:right w:type="dxa" w:w="110"/>
            </w:tcMar>
          </w:tcPr>
          <w:p>
            <w:pPr>
              <w:spacing w:after="40" w:before="40"/>
            </w:pPr>
            <w:r>
              <w:rPr>
                <w:rFonts w:ascii="Aptos" w:cs="Aptos" w:eastAsia="Aptos" w:hAnsi="Aptos"/>
                <w:sz w:val="18"/>
                <w:szCs w:val="18"/>
              </w:rPr>
              <w:t xml:space="preserve">On publication</w:t>
            </w:r>
          </w:p>
        </w:tc>
        <w:tc>
          <w:tcPr>
            <w:tcW w:type="dxa" w:w="3278"/>
            <w:tcMar>
              <w:top w:type="dxa" w:w="60"/>
              <w:left w:type="dxa" w:w="110"/>
              <w:bottom w:type="dxa" w:w="60"/>
              <w:right w:type="dxa" w:w="110"/>
            </w:tcMar>
          </w:tcPr>
          <w:p>
            <w:pPr>
              <w:spacing w:after="40" w:before="40"/>
            </w:pPr>
            <w:r>
              <w:rPr>
                <w:rFonts w:ascii="Aptos" w:cs="Aptos" w:eastAsia="Aptos" w:hAnsi="Aptos"/>
                <w:sz w:val="18"/>
                <w:szCs w:val="18"/>
              </w:rPr>
              <w:t xml:space="preserve"/>
            </w:r>
          </w:p>
        </w:tc>
      </w:tr>
    </w:tbl>
    <w:p>
      <w:pPr>
        <w:spacing w:after="3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4300"/>
        <w:gridCol w:w="2978"/>
      </w:tblGrid>
      <w:tr>
        <w:trPr>
          <w:tblHeader/>
        </w:trPr>
        <w:tc>
          <w:tcPr>
            <w:tcW w:type="dxa" w:w="220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20"/>
                <w:szCs w:val="20"/>
              </w:rPr>
              <w:t xml:space="preserve"/>
            </w:r>
          </w:p>
        </w:tc>
        <w:tc>
          <w:tcPr>
            <w:tcW w:type="dxa" w:w="520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20"/>
                <w:szCs w:val="20"/>
              </w:rPr>
              <w:t xml:space="preserve">Name</w:t>
            </w:r>
          </w:p>
        </w:tc>
        <w:tc>
          <w:tcPr>
            <w:tcW w:type="dxa" w:w="430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20"/>
                <w:szCs w:val="20"/>
              </w:rPr>
              <w:t xml:space="preserve">Signature</w:t>
            </w:r>
          </w:p>
        </w:tc>
        <w:tc>
          <w:tcPr>
            <w:tcW w:type="dxa" w:w="2978"/>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20"/>
                <w:szCs w:val="20"/>
              </w:rPr>
              <w:t xml:space="preserve">Date</w:t>
            </w:r>
          </w:p>
        </w:tc>
      </w:tr>
      <w:tr>
        <w:tc>
          <w:tcPr>
            <w:tcW w:type="dxa" w:w="2200"/>
            <w:tcMar>
              <w:top w:type="dxa" w:w="60"/>
              <w:left w:type="dxa" w:w="110"/>
              <w:bottom w:type="dxa" w:w="60"/>
              <w:right w:type="dxa" w:w="110"/>
            </w:tcMar>
          </w:tcPr>
          <w:p>
            <w:pPr>
              <w:spacing w:after="40" w:before="40"/>
            </w:pPr>
            <w:r>
              <w:rPr>
                <w:rFonts w:ascii="Aptos" w:cs="Aptos" w:eastAsia="Aptos" w:hAnsi="Aptos"/>
                <w:sz w:val="20"/>
                <w:szCs w:val="20"/>
              </w:rPr>
              <w:t xml:space="preserve">Assessed by</w:t>
            </w:r>
          </w:p>
        </w:tc>
        <w:tc>
          <w:tcPr>
            <w:tcW w:type="dxa" w:w="5200"/>
            <w:tcMar>
              <w:top w:type="dxa" w:w="60"/>
              <w:left w:type="dxa" w:w="110"/>
              <w:bottom w:type="dxa" w:w="60"/>
              <w:right w:type="dxa" w:w="110"/>
            </w:tcMar>
          </w:tcPr>
          <w:p>
            <w:pPr>
              <w:spacing w:after="40" w:before="40"/>
            </w:pPr>
            <w:r>
              <w:rPr>
                <w:rFonts w:ascii="Aptos" w:cs="Aptos" w:eastAsia="Aptos" w:hAnsi="Aptos"/>
                <w:sz w:val="20"/>
                <w:szCs w:val="20"/>
              </w:rPr>
              <w:t xml:space="preserve">Simon Archer (Archer Health &amp; Safety)</w:t>
            </w:r>
          </w:p>
        </w:tc>
        <w:tc>
          <w:tcPr>
            <w:tcW w:type="dxa" w:w="43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2978"/>
            <w:tcMar>
              <w:top w:type="dxa" w:w="60"/>
              <w:left w:type="dxa" w:w="110"/>
              <w:bottom w:type="dxa" w:w="60"/>
              <w:right w:type="dxa" w:w="110"/>
            </w:tcMar>
          </w:tcPr>
          <w:p>
            <w:pPr>
              <w:spacing w:after="40" w:before="40"/>
            </w:pPr>
            <w:r>
              <w:rPr>
                <w:rFonts w:ascii="Aptos" w:cs="Aptos" w:eastAsia="Aptos" w:hAnsi="Aptos"/>
                <w:sz w:val="20"/>
                <w:szCs w:val="20"/>
              </w:rPr>
              <w:t xml:space="preserve"/>
            </w:r>
          </w:p>
        </w:tc>
      </w:tr>
      <w:tr>
        <w:tc>
          <w:tcPr>
            <w:tcW w:type="dxa" w:w="2200"/>
            <w:tcMar>
              <w:top w:type="dxa" w:w="60"/>
              <w:left w:type="dxa" w:w="110"/>
              <w:bottom w:type="dxa" w:w="60"/>
              <w:right w:type="dxa" w:w="110"/>
            </w:tcMar>
          </w:tcPr>
          <w:p>
            <w:pPr>
              <w:spacing w:after="40" w:before="40"/>
            </w:pPr>
            <w:r>
              <w:rPr>
                <w:rFonts w:ascii="Aptos" w:cs="Aptos" w:eastAsia="Aptos" w:hAnsi="Aptos"/>
                <w:sz w:val="20"/>
                <w:szCs w:val="20"/>
              </w:rPr>
              <w:t xml:space="preserve">Approved by (Managing Director)</w:t>
            </w:r>
          </w:p>
        </w:tc>
        <w:tc>
          <w:tcPr>
            <w:tcW w:type="dxa" w:w="52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43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2978"/>
            <w:tcMar>
              <w:top w:type="dxa" w:w="60"/>
              <w:left w:type="dxa" w:w="110"/>
              <w:bottom w:type="dxa" w:w="60"/>
              <w:right w:type="dxa" w:w="110"/>
            </w:tcMar>
          </w:tcPr>
          <w:p>
            <w:pPr>
              <w:spacing w:after="40" w:before="40"/>
            </w:pPr>
            <w:r>
              <w:rPr>
                <w:rFonts w:ascii="Aptos" w:cs="Aptos" w:eastAsia="Aptos" w:hAnsi="Aptos"/>
                <w:sz w:val="20"/>
                <w:szCs w:val="20"/>
              </w:rPr>
              <w:t xml:space="preserve"/>
            </w:r>
          </w:p>
        </w:tc>
      </w:tr>
    </w:tbl>
    <w:sectPr>
      <w:footerReference w:type="default" r:id="rId7"/>
      <w:pgSz w:w="16838" w:h="11906" w:orient="landscape"/>
      <w:pgMar w:top="1080" w:right="1080" w:bottom="1080" w:left="1080" w:header="708" w:footer="708" w:gutter="0"/>
      <w:pgNumType/>
      <w:docGrid w:linePitch="360"/>
    </w:sectPr>
  </w:body>
</w:document>
</file>

<file path=word/comments.xml><?xml version="1.0" encoding="utf-8"?>
<w:comments xmlns:w="http://schemas.openxmlformats.org/wordprocessingml/2006/main">
  <w:comment w:id="1" w:author="AHS Ltd" w:initials="AHS" w:date="2026-10-13T00:00:00Z">
    <w:p>
      <w:r>
        <w:t xml:space="preserve">AHS Ltd review: This was written for a security systems design consultancy. Check it fits ⟦specialism⟧ and rewrite it where it does not.</w:t>
      </w:r>
    </w:p>
  </w:comment>
  <w:comment w:id="2" w:author="AHS Ltd" w:initials="AHS" w:date="2026-10-13T00:00:00Z">
    <w:p>
      <w:r>
        <w:t xml:space="preserve">AHS Ltd review: It carries dates from the original document: check or update them.</w:t>
      </w:r>
    </w:p>
  </w:comment>
  <w:comment w:id="3" w:author="AHS Ltd" w:initials="AHS" w:date="2026-10-13T00:00:00Z">
    <w:p>
      <w:r>
        <w:t xml:space="preserve">AHS Ltd review: It carries dates from the original document: check or update them.</w:t>
      </w:r>
    </w:p>
  </w:comment>
  <w:comment w:id="4" w:author="AHS Ltd" w:initials="AHS" w:date="2026-10-13T00:00:00Z">
    <w:p>
      <w:r>
        <w:t xml:space="preserve">AHS Ltd review: This was written for a security systems design consultancy. Check it fits ⟦specialism⟧ and rewrite it where it does not.</w:t>
      </w:r>
    </w:p>
  </w:comment>
  <w:comment w:id="5" w:author="AHS Ltd" w:initials="AHS" w:date="2026-10-13T00:00:00Z">
    <w:p>
      <w:r>
        <w:t xml:space="preserve">AHS Ltd review: This was written for a security systems design consultancy. Check it fits ⟦specialism⟧ and rewrite it where it does not.</w:t>
      </w:r>
    </w:p>
  </w:comment>
  <w:comment w:id="6" w:author="AHS Ltd" w:initials="AHS" w:date="2026-10-13T00:00:00Z">
    <w:p>
      <w:r>
        <w:t xml:space="preserve">AHS Ltd review: It carries dates from the original document: check or update them.</w:t>
      </w:r>
    </w:p>
  </w:comment>
  <w:comment w:id="7" w:author="AHS Ltd" w:initials="AHS" w:date="2026-10-13T00:00:00Z">
    <w:p>
      <w:r>
        <w:t xml:space="preserve">AHS Ltd review: It carries dates from the original document: check or update them.</w:t>
      </w:r>
    </w:p>
  </w:comment>
  <w:comment w:id="8" w:author="AHS Ltd" w:initials="AHS" w:date="2026-10-13T00:00:00Z">
    <w:p>
      <w:r>
        <w:t xml:space="preserve">AHS Ltd review: It carries dates from the original document: check or update them.</w:t>
      </w:r>
    </w:p>
  </w:comment>
  <w:comment w:id="9" w:author="AHS Ltd" w:initials="AHS" w:date="2026-10-13T00:00:00Z">
    <w:p>
      <w:r>
        <w:t xml:space="preserve">AHS Ltd review: It carries dates from the original document: check or update them.</w:t>
      </w:r>
    </w:p>
  </w:comment>
  <w:comment w:id="10" w:author="AHS Ltd" w:initials="AHS" w:date="2026-10-13T00:00:00Z">
    <w:p>
      <w:r>
        <w:t xml:space="preserve">AHS Ltd review: It carries dates from the original document: check or update them.</w:t>
      </w:r>
    </w:p>
  </w:comment>
  <w:comment w:id="11" w:author="AHS Ltd" w:initials="AHS" w:date="2026-10-13T00:00:00Z">
    <w:p>
      <w:r>
        <w:t xml:space="preserve">AHS Ltd review: It carries dates from the original document: check or update them.</w:t>
      </w:r>
    </w:p>
  </w:comment>
  <w:comment w:id="12" w:author="AHS Ltd" w:initials="AHS" w:date="2026-10-13T00:00:00Z">
    <w:p>
      <w:r>
        <w:t xml:space="preserve">AHS Ltd review: It carries dates from the original document: check or update them.</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6"/>
      </w:pBdr>
      <w:spacing w:after="0" w:before="120"/>
      <w:jc w:val="center"/>
    </w:pPr>
    <w:r>
      <w:rPr>
        <w:rFonts w:ascii="Helvetica" w:cs="Helvetica" w:eastAsia="Helvetica" w:hAnsi="Helvetica"/>
        <w:sz w:val="14"/>
        <w:szCs w:val="14"/>
      </w:rPr>
      <w:t xml:space="preserve">Registered Office: ⟦address⟧</w:t>
    </w:r>
  </w:p>
  <w:p>
    <w:pPr>
      <w:jc w:val="center"/>
    </w:pPr>
    <w:r>
      <w:rPr>
        <w:rFonts w:ascii="Calibri" w:cs="Calibri" w:eastAsia="Calibri" w:hAnsi="Calibri"/>
        <w:sz w:val="14"/>
        <w:szCs w:val="14"/>
      </w:rPr>
      <w:t xml:space="preserve">Company number: ⟦companyNo⟧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rFonts w:ascii="Aptos" w:cs="Aptos" w:eastAsia="Aptos" w:hAnsi="Aptos"/>
        <w:sz w:val="22"/>
        <w:szCs w:val="22"/>
      </w:rPr>
    </w:lvl>
    <w:lvl w:ilvl="1" w15:tentative="1">
      <w:start w:val="1"/>
      <w:numFmt w:val="bullet"/>
      <w:lvlText w:val="–"/>
      <w:lvlJc w:val="left"/>
      <w:pPr>
        <w:ind w:left="920" w:hanging="240"/>
      </w:pPr>
      <w:rPr>
        <w:rFonts w:ascii="Aptos" w:cs="Aptos" w:eastAsia="Aptos" w:hAnsi="Aptos"/>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ptos Black" w:cs="Aptos Black" w:eastAsia="Aptos Black" w:hAnsi="Aptos Black"/>
      <w:b/>
      <w:bCs/>
      <w:color w:val="E3DE00"/>
      <w:sz w:val="32"/>
      <w:szCs w:val="32"/>
    </w:rPr>
  </w:style>
  <w:style w:type="paragraph" w:styleId="Heading2">
    <w:name w:val="Heading 2"/>
    <w:basedOn w:val="Normal"/>
    <w:next w:val="Normal"/>
    <w:qFormat/>
    <w:rPr>
      <w:rFonts w:ascii="Calibri" w:cs="Calibri" w:eastAsia="Calibri" w:hAnsi="Calibri"/>
      <w:b/>
      <w:bCs/>
      <w:color w:val="002060"/>
      <w:sz w:val="24"/>
      <w:szCs w:val="24"/>
    </w:rPr>
  </w:style>
  <w:style w:type="paragraph" w:styleId="Heading3">
    <w:name w:val="Heading 3"/>
    <w:basedOn w:val="Normal"/>
    <w:next w:val="Normal"/>
    <w:qFormat/>
    <w:rPr>
      <w:rFonts w:ascii="Calibri" w:cs="Calibri" w:eastAsia="Calibri" w:hAnsi="Calibri"/>
      <w:b/>
      <w:bCs/>
      <w:color w:val="0020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image" Target="media/66a9ed7a9db097255072182a00c6bb9ae9a5e240.png"/><Relationship Id="rId9" Type="http://schemas.openxmlformats.org/officeDocument/2006/relationships/image" Target="media/d00fe7aa5f23116cc21499fe913d02e20ff6dce6.png"/><Relationship Id="rId10" Type="http://schemas.openxmlformats.org/officeDocument/2006/relationships/fontTable" Target="fontTable.xml"/><Relationship Id="rIdAhsComments" Type="http://schemas.openxmlformats.org/officeDocument/2006/relationships/comments" Target="comment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Sexual Harassment Risk Assessment</dc:title>
  <dc:creator>AHS Ltd</dc:creator>
  <cp:lastModifiedBy>AHS Ltd</cp:lastModifiedBy>
</cp:coreProperties>
</file>

<file path=docProps/custom.xml><?xml version="1.0" encoding="utf-8"?>
<Properties xmlns="http://schemas.openxmlformats.org/officeDocument/2006/custom-properties" xmlns:vt="http://schemas.openxmlformats.org/officeDocument/2006/docPropsVTypes"/>
</file>