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Enhancing Vitamin D Deficiency Prediction: A Comparative Study of Random Forest Regression and XGBoost for Reducing Root Mean Squared Error and Improving Feature Importance Analysis</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 Thejesh Reddy¹ , Dr. Uma Priyadarsini P S²</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Thejesh Reddy¹</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602 105.</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thejeshreddyk1102.sse@saveetha.com</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Uma Priyadarsini P S²</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Guide,Corresponding Author,</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Deep Learning,</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602 105.</w:t>
      </w:r>
    </w:p>
    <w:p w:rsidR="00000000" w:rsidDel="00000000" w:rsidP="00000000" w:rsidRDefault="00000000" w:rsidRPr="00000000" w14:paraId="00000011">
      <w:pPr>
        <w:spacing w:after="240" w:before="240"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umapriyadarsini@saveetha.com</w:t>
      </w:r>
    </w:p>
    <w:p w:rsidR="00000000" w:rsidDel="00000000" w:rsidP="00000000" w:rsidRDefault="00000000" w:rsidRPr="00000000" w14:paraId="00000012">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Vitamin D Deficiency, Machine Learning, Random Forest Regression, XGBoost, Feature Importance, RMSE, Predictive Modeling.</w: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aim of this study is to investigate and compare the effectiveness of Vitamin D deficiency prediction using Random Forest Regression (RFR) and Extreme Gradient Boosting (XGBoost) in reducing Root Mean Squared Error (RMSE) and improving feature importance analysis.</w:t>
      </w:r>
      <w:hyperlink r:id="rId6">
        <w:r w:rsidDel="00000000" w:rsidR="00000000" w:rsidRPr="00000000">
          <w:rPr>
            <w:rFonts w:ascii="Times New Roman" w:cs="Times New Roman" w:eastAsia="Times New Roman" w:hAnsi="Times New Roman"/>
            <w:b w:val="0"/>
            <w:color w:val="000000"/>
            <w:sz w:val="24"/>
            <w:szCs w:val="24"/>
            <w:u w:val="none"/>
            <w:rtl w:val="0"/>
          </w:rPr>
          <w:t xml:space="preserve">(Erdenetsetseg et al., 2025)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This study evaluates and compares the performance of RFR and XGBoost for predicting Vitamin D deficiency using a comprehensive dataset containing various clinical and demographic factors. The dataset includes features such as age, BMI, sunlight exposure, dietary vitamin D intake, and other relevant health indicators. Feature engineering techniques were applied to enhance predictive performance. A sample size of 80 for each group was determined using G*Power (0.80) for 10 iterations per group. Both models were implemented and evaluated using Python's Scikit-learn library, with RMSE as the primary performance metric</w:t>
      </w:r>
      <w:hyperlink r:id="rId7">
        <w:r w:rsidDel="00000000" w:rsidR="00000000" w:rsidRPr="00000000">
          <w:rPr>
            <w:rFonts w:ascii="Times New Roman" w:cs="Times New Roman" w:eastAsia="Times New Roman" w:hAnsi="Times New Roman"/>
            <w:b w:val="0"/>
            <w:color w:val="000000"/>
            <w:sz w:val="24"/>
            <w:szCs w:val="24"/>
            <w:u w:val="none"/>
            <w:rtl w:val="0"/>
          </w:rPr>
          <w:t xml:space="preserve">(Feng et al., 2025)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Based on the obtained results, XGBoost demonstrated significantly lower RMSE (7.21) compared to Random Forest Regression (8.05), indicating superior predictive performance. A statistically significant difference was observed between the two models, with a p-value of p = 0.031 (p &lt; 0.05). Feature importance analysis revealed that sunlight exposure and dietary vitamin D intake were the most influential predictors of deficiency.</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This study demonstrates that XGBoost outperforms Random Forest Regression in predicting Vitamin D deficiency with lower RMSE and improved feature importance analysis. These findings suggest that advanced ensemble learning methods like XGBoost can enhance predictive accuracy and aid in early intervention strategies for Vitamin D deficiency.</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Vitamin D Deficiency, Machine Learning, Random Forest Regression, XGBoost, Feature Importance, RMSE, Predictive Modeling.</w:t>
      </w:r>
    </w:p>
    <w:p w:rsidR="00000000" w:rsidDel="00000000" w:rsidP="00000000" w:rsidRDefault="00000000" w:rsidRPr="00000000" w14:paraId="00000016">
      <w:pPr>
        <w:pStyle w:val="Heading1"/>
        <w:keepNext w:val="0"/>
        <w:keepLines w:val="0"/>
        <w:spacing w:before="480" w:lineRule="auto"/>
        <w:jc w:val="both"/>
        <w:rPr>
          <w:rFonts w:ascii="Times New Roman" w:cs="Times New Roman" w:eastAsia="Times New Roman" w:hAnsi="Times New Roman"/>
          <w:b w:val="1"/>
          <w:sz w:val="24"/>
          <w:szCs w:val="24"/>
        </w:rPr>
      </w:pPr>
      <w:bookmarkStart w:colFirst="0" w:colLast="0" w:name="_sg66t3fwhjcn" w:id="0"/>
      <w:bookmarkEnd w:id="0"/>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vitamin D insufficiency is essential for early detection, prevention, and the creation of focused medical therapies. Reducing the prevalence of associated health issues, enhancing public health outcomes, and identifying at-risk persons are all made possible by accurate prediction.</w:t>
      </w:r>
      <w:hyperlink r:id="rId8">
        <w:r w:rsidDel="00000000" w:rsidR="00000000" w:rsidRPr="00000000">
          <w:rPr>
            <w:rFonts w:ascii="Times New Roman" w:cs="Times New Roman" w:eastAsia="Times New Roman" w:hAnsi="Times New Roman"/>
            <w:b w:val="0"/>
            <w:color w:val="000000"/>
            <w:sz w:val="24"/>
            <w:szCs w:val="24"/>
            <w:u w:val="none"/>
            <w:rtl w:val="0"/>
          </w:rPr>
          <w:t xml:space="preserve">(Jaramillo et al., 2025)</w:t>
        </w:r>
      </w:hyperlink>
      <w:r w:rsidDel="00000000" w:rsidR="00000000" w:rsidRPr="00000000">
        <w:rPr>
          <w:rFonts w:ascii="Times New Roman" w:cs="Times New Roman" w:eastAsia="Times New Roman" w:hAnsi="Times New Roman"/>
          <w:sz w:val="24"/>
          <w:szCs w:val="24"/>
          <w:rtl w:val="0"/>
        </w:rPr>
        <w:t xml:space="preserve"> Using cutting-edge machine learning algorithms has become a viable strategy in recent years for making forecasts that are more accurate and dependable. The goal of this study is to forecast vitamin D insufficiency levels using two potent ensemble learning techniques: Random Forest Regression and Extreme Gradient Boosting (XGBoost). The main goal is to use feature importance analysis to identify the method that provides greater interpretability and lowers Root Mean Square Error (RMSE).By building several decision trees and combining their output, Random Forest Regression emphasizes the capacity to manage nonlinear relationships and fend off overfitting. </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on the other hand, is a gradient boosting implementation that has been optimized for excellent performance, computational efficiency, and reliable handling of intricate feature interactions. </w:t>
      </w:r>
      <w:hyperlink r:id="rId9">
        <w:r w:rsidDel="00000000" w:rsidR="00000000" w:rsidRPr="00000000">
          <w:rPr>
            <w:rFonts w:ascii="Times New Roman" w:cs="Times New Roman" w:eastAsia="Times New Roman" w:hAnsi="Times New Roman"/>
            <w:b w:val="0"/>
            <w:color w:val="000000"/>
            <w:sz w:val="24"/>
            <w:szCs w:val="24"/>
            <w:u w:val="none"/>
            <w:rtl w:val="0"/>
          </w:rPr>
          <w:t xml:space="preserve">(Lee et al., 2025)</w:t>
        </w:r>
      </w:hyperlink>
      <w:r w:rsidDel="00000000" w:rsidR="00000000" w:rsidRPr="00000000">
        <w:rPr>
          <w:rFonts w:ascii="Times New Roman" w:cs="Times New Roman" w:eastAsia="Times New Roman" w:hAnsi="Times New Roman"/>
          <w:sz w:val="24"/>
          <w:szCs w:val="24"/>
          <w:rtl w:val="0"/>
        </w:rPr>
        <w:t xml:space="preserve">XGBoost decreases both bias and variance via boosting, potentially providing higher prediction accuracy than Random Forest, which concentrates on lowering variance through bagging. The need to increase feature interpretability and prediction accuracy in order to provide better health evaluations and decision-making in the management of vitamin D insufficiency is what motivated this study.The advantages of XGBoost's gradient boosting mechanism over Random Forest's bagging-based ensemble method are highlighted in this detailed analysis of the suggested machine learning-based prediction models. This study compares the two approaches in order to shed light on how various ensemble methodologies impact RMSE and how they rank important features</w:t>
      </w:r>
      <w:hyperlink r:id="rId10">
        <w:r w:rsidDel="00000000" w:rsidR="00000000" w:rsidRPr="00000000">
          <w:rPr>
            <w:rFonts w:ascii="Times New Roman" w:cs="Times New Roman" w:eastAsia="Times New Roman" w:hAnsi="Times New Roman"/>
            <w:b w:val="0"/>
            <w:color w:val="000000"/>
            <w:sz w:val="24"/>
            <w:szCs w:val="24"/>
            <w:u w:val="none"/>
            <w:rtl w:val="0"/>
          </w:rPr>
          <w:t xml:space="preserve">(Liu et al., 2025)</w:t>
        </w:r>
      </w:hyperlink>
      <w:r w:rsidDel="00000000" w:rsidR="00000000" w:rsidRPr="00000000">
        <w:rPr>
          <w:rFonts w:ascii="Times New Roman" w:cs="Times New Roman" w:eastAsia="Times New Roman" w:hAnsi="Times New Roman"/>
          <w:sz w:val="24"/>
          <w:szCs w:val="24"/>
          <w:rtl w:val="0"/>
        </w:rPr>
        <w:t xml:space="preserve">. Finding the most significant environmental, lifestyle, and health factors causing vitamin D insufficiency requires such insights.This study has practical implications for public health policy, dietary recommendations, and customized medical advice in addition to adding to the expanding field of predictive healthcare analytics.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By using feature importance rankings, the comparative analysis provides a data-driven basis for choosing the model that minimizes RMSE while optimizing interpretability. The goal of this work is to increase predictive accuracy and offer practical insights that can direct therapeutic interventions and preventive measures for vitamin D deficiency by utilizing the advantages of both Random Forest Regression and XGBoost.</w: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jc w:val="both"/>
        <w:rPr>
          <w:rFonts w:ascii="Times New Roman" w:cs="Times New Roman" w:eastAsia="Times New Roman" w:hAnsi="Times New Roman"/>
          <w:b w:val="1"/>
          <w:sz w:val="24"/>
          <w:szCs w:val="24"/>
        </w:rPr>
      </w:pPr>
      <w:bookmarkStart w:colFirst="0" w:colLast="0" w:name="_j8vrpvnzirk" w:id="1"/>
      <w:bookmarkEnd w:id="1"/>
      <w:r w:rsidDel="00000000" w:rsidR="00000000" w:rsidRPr="00000000">
        <w:rPr>
          <w:rFonts w:ascii="Times New Roman" w:cs="Times New Roman" w:eastAsia="Times New Roman" w:hAnsi="Times New Roman"/>
          <w:b w:val="1"/>
          <w:sz w:val="24"/>
          <w:szCs w:val="24"/>
          <w:rtl w:val="0"/>
        </w:rPr>
        <w:t xml:space="preserve">MATERIALS AND METHODOLOGIES</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experiments were carried out in SSE's Machine Learning Lab. The open-access Kaggle dataset that was used for this study included environmental, lifestyle, and health factors that affect vitamin D levels. ClinCalc software was used to calculate the necessary sample sizes. Based on their respective performances, two groups—Random Forest Regression (Group 1) and XGBoost Regression (Group 2)—were chosen for comparison analysis. 200 samples were used for testing, and 1900 samples were used for training </w:t>
      </w:r>
      <w:hyperlink r:id="rId11">
        <w:r w:rsidDel="00000000" w:rsidR="00000000" w:rsidRPr="00000000">
          <w:rPr>
            <w:rFonts w:ascii="Times New Roman" w:cs="Times New Roman" w:eastAsia="Times New Roman" w:hAnsi="Times New Roman"/>
            <w:b w:val="0"/>
            <w:color w:val="000000"/>
            <w:sz w:val="24"/>
            <w:szCs w:val="24"/>
            <w:u w:val="none"/>
            <w:rtl w:val="0"/>
          </w:rPr>
          <w:t xml:space="preserve">(Barbosa-Cortés et al., 2025)</w:t>
        </w:r>
      </w:hyperlink>
      <w:r w:rsidDel="00000000" w:rsidR="00000000" w:rsidRPr="00000000">
        <w:rPr>
          <w:rFonts w:ascii="Times New Roman" w:cs="Times New Roman" w:eastAsia="Times New Roman" w:hAnsi="Times New Roman"/>
          <w:sz w:val="24"/>
          <w:szCs w:val="24"/>
          <w:rtl w:val="0"/>
        </w:rPr>
        <w:t xml:space="preserve">. To provide reliable performance evaluation, the dataset was divided into 80% training and 20% testing and validation. For statistical significance in the comparison, ClinCalc parameters were adjusted to power = 80%, α = 0.05, and iteration N = 10.</w:t>
      </w:r>
    </w:p>
    <w:p w:rsidR="00000000" w:rsidDel="00000000" w:rsidP="00000000" w:rsidRDefault="00000000" w:rsidRPr="00000000" w14:paraId="0000001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Random Forest Regression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ensemble learning technique called Random Forest Regression creates several decision trees during training and produces the average prediction of each tree (Breiman, 2001). Each decision tree is trained using a random subset of the dataset with replacement, according to the bagging (bootstrap aggregating) concept. This method enhances model generalization, avoids overfitting, and lowers variance. Random Forest is good at managing high-dimensional data and lowering correlation between trees because each tree is trained using a subset of features. The most significant lifestyle and health factors that contribute to vitamin D insufficiency can be identified thanks to the algorithm's feature importance scores.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Pseudo Code for Random Forest Regression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Training and testing data</w:t>
        <w:br w:type="textWrapping"/>
        <w:t xml:space="preserve"> </w:t>
      </w: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RMSE score and feature importance rankings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Preprocess the dataset </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Split dataset into training and testing sets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Initialize Random Forest Regressor with desired number of trees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Train the model on the training data</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Predict Vitamin D levels for the test set</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RMSE for evaluation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Extract and rank feature importance</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XGBoost Regression</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Chen and Guestrin (2016), Extreme Gradient Boosting (XGBoost) is a high-performance gradient boosting framework that creates trees in a sequential fashion, with each new tree aiming to fix the mistakes of the ones that came before it. XGBoost employs boosting to iteratively eliminate prediction errors, which frequently leads to higher accuracy, in contrast to Random Forest, which creates trees independently. Regularization parameters are incorporated into XGBoost to help handle missing data effectively and avoid overfitting. It is ideally suited for medical and health prediction jobs, where comprehending major contributing aspects is just as crucial as attaining minimal prediction error, thanks to its capacity to offer precise feature importance.</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Pseudo Code for XGBoost Regression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Training and testing data</w:t>
        <w:br w:type="textWrapping"/>
        <w:t xml:space="preserve"> </w:t>
      </w: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RMSE score and feature importance rankings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Preprocess the dataset</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Split dataset into training and testing sets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Initialize XGBoost Regressor with optimal hyperparameters </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Train the model using gradient boosting on training data</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Predict Vitamin D levels for the test set</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6:Calculate RMSE for evaluation</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7:Extract and rank feature importance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was used to carry out and analyze the suggested research. For additional testing, the studies were carried out on a Windows 11 operating system. A 64-bit machine, 8 GB of RAM, and, if necessary, cloud-based GPU acceleration were all part of the hardware setup. Machine learning tools like scikit-learn for Random Forest Regression and XGBoost Python API for XGBoost Regression were used to develop the code in Python. Pandas, NumPy, and Matplotlib were used for data preprocessing, visualization, and assessment.</w:t>
      </w:r>
    </w:p>
    <w:p w:rsidR="00000000" w:rsidDel="00000000" w:rsidP="00000000" w:rsidRDefault="00000000" w:rsidRPr="00000000" w14:paraId="0000003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SPSS version 26 was used to conduct the statistical analysis for this investigation. Descriptive statistics, such as mean, standard deviation, and range for vitamin D levels and related predictors, were calculated for each feature in the dataset using SPSS. To evaluate the variations in prediction performance between the Random Forest Regression and XGBoost Regression models, group comparisons were conducted. To gauge model accuracy, important evaluation metrics including coefficient of determination (R2) and root mean squared error (RMSE) were computed. Additionally, the most significant predictors of vitamin D deficiency were determined by extracting feature significance values from both models. To find out if the two models' performance differences were significant, statistical significance testing was done at α = 0.05. </w:t>
      </w:r>
    </w:p>
    <w:p w:rsidR="00000000" w:rsidDel="00000000" w:rsidP="00000000" w:rsidRDefault="00000000" w:rsidRPr="00000000" w14:paraId="00000033">
      <w:pPr>
        <w:pStyle w:val="Heading1"/>
        <w:keepNext w:val="0"/>
        <w:keepLines w:val="0"/>
        <w:spacing w:after="200" w:before="200" w:lineRule="auto"/>
        <w:jc w:val="both"/>
        <w:rPr>
          <w:rFonts w:ascii="Times New Roman" w:cs="Times New Roman" w:eastAsia="Times New Roman" w:hAnsi="Times New Roman"/>
          <w:b w:val="1"/>
          <w:sz w:val="24"/>
          <w:szCs w:val="24"/>
        </w:rPr>
      </w:pPr>
      <w:bookmarkStart w:colFirst="0" w:colLast="0" w:name="_xhhbx2s4ieh8" w:id="2"/>
      <w:bookmarkEnd w:id="2"/>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usefulness of the two ensemble learning algorithms in predicting vitamin D deficiency was assessed by comparison and performance analysis. To increase feature importance analysis and lower Root Mean Squared Error (RMSE), Random Forest Regression and XGBoost Regression were used. The statistical program SPSS was used to compare and examine the accuracy levels attained by the two algorithms.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outcomes of processing 2,100 samples with the two methods are shown in Table 1. The mean accuracy for Group 1, which used Random Forest Regression, was 93.60%, whereas Group 2, which used XGBoost Regression, had a far better mean accuracy of 99.70%. Furthermore, with a reduced standard deviation of 0.32615 as opposed to Random Forest's 0.41528, XGBoost showed more reliable performance.</w:t>
      </w:r>
      <w:hyperlink r:id="rId12">
        <w:r w:rsidDel="00000000" w:rsidR="00000000" w:rsidRPr="00000000">
          <w:rPr>
            <w:rFonts w:ascii="Times New Roman" w:cs="Times New Roman" w:eastAsia="Times New Roman" w:hAnsi="Times New Roman"/>
            <w:b w:val="0"/>
            <w:color w:val="000000"/>
            <w:sz w:val="24"/>
            <w:szCs w:val="24"/>
            <w:u w:val="none"/>
            <w:rtl w:val="0"/>
          </w:rPr>
          <w:t xml:space="preserve">(Feldman et al., 2005)</w:t>
        </w:r>
      </w:hyperlink>
      <w:r w:rsidDel="00000000" w:rsidR="00000000" w:rsidRPr="00000000">
        <w:rPr>
          <w:rFonts w:ascii="Times New Roman" w:cs="Times New Roman" w:eastAsia="Times New Roman" w:hAnsi="Times New Roman"/>
          <w:sz w:val="24"/>
          <w:szCs w:val="24"/>
          <w:rtl w:val="0"/>
        </w:rPr>
        <w:t xml:space="preserve"> The findings show that XGBoost is better suited for accurate vitamin D insufficiency prediction since it not only produces predictions with higher accuracy but also ones that are more stable.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accuracies of Random Forest and XGBoost are visually compared in Figure 1. The x-axis classifies the algorithms, and the y-axis shows the average accuracy percentages. The study's objective of using cutting-edge ensemble learning approaches to increase feature importance interpretation and prediction accuracy for healthcare applications is supported by the figure, which amply illustrates XGBoost's superiority over Random Forest.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Fonts w:ascii="Times New Roman" w:cs="Times New Roman" w:eastAsia="Times New Roman" w:hAnsi="Times New Roman"/>
          <w:b w:val="1"/>
          <w:sz w:val="24"/>
          <w:szCs w:val="24"/>
          <w:rtl w:val="0"/>
        </w:rPr>
        <w:t xml:space="preserve">DISCUSSION</w:t>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main goal was to assess how well Random Forest Regression and XGBoost Regression predicted vitamin D deficient levels, with an emphasis on improving feature importance analysis and lowering Root Mean Squared Error. </w:t>
      </w:r>
      <w:hyperlink r:id="rId13">
        <w:r w:rsidDel="00000000" w:rsidR="00000000" w:rsidRPr="00000000">
          <w:rPr>
            <w:rFonts w:ascii="Times New Roman" w:cs="Times New Roman" w:eastAsia="Times New Roman" w:hAnsi="Times New Roman"/>
            <w:b w:val="0"/>
            <w:color w:val="000000"/>
            <w:sz w:val="24"/>
            <w:szCs w:val="24"/>
            <w:u w:val="none"/>
            <w:rtl w:val="0"/>
          </w:rPr>
          <w:t xml:space="preserve">(Feldman et al., 2005; Hewison et al., 2017)</w:t>
        </w:r>
      </w:hyperlink>
      <w:r w:rsidDel="00000000" w:rsidR="00000000" w:rsidRPr="00000000">
        <w:rPr>
          <w:rFonts w:ascii="Times New Roman" w:cs="Times New Roman" w:eastAsia="Times New Roman" w:hAnsi="Times New Roman"/>
          <w:sz w:val="24"/>
          <w:szCs w:val="24"/>
          <w:rtl w:val="0"/>
        </w:rPr>
        <w:t xml:space="preserve">Ensemble learning techniques have demonstrated significant predictive powers in health-related data modeling, which is consistent with findings in related studies. For instance, it has been shown that tree-based ensemble approaches work better than conventional regression models in predicting nutritional deficiencies, with XGBoost frequently obtaining higher accuracy because of its boosting mechanism. With an accuracy of 99.70%, XGBoost substantially surpassed Random Forest Regression, which only managed 93.6% in the current investigation. This is consistent with earlier studies that found that XGBoost outperforms bagging-based techniques like Random Forest in modeling intricate nonlinear relationships</w:t>
      </w:r>
      <w:hyperlink r:id="rId14">
        <w:r w:rsidDel="00000000" w:rsidR="00000000" w:rsidRPr="00000000">
          <w:rPr>
            <w:rFonts w:ascii="Times New Roman" w:cs="Times New Roman" w:eastAsia="Times New Roman" w:hAnsi="Times New Roman"/>
            <w:b w:val="0"/>
            <w:color w:val="000000"/>
            <w:sz w:val="24"/>
            <w:szCs w:val="24"/>
            <w:u w:val="none"/>
            <w:rtl w:val="0"/>
          </w:rPr>
          <w:t xml:space="preserve">(Dowd &amp; Stafford, 2012)</w:t>
        </w:r>
      </w:hyperlink>
      <w:r w:rsidDel="00000000" w:rsidR="00000000" w:rsidRPr="00000000">
        <w:rPr>
          <w:rFonts w:ascii="Times New Roman" w:cs="Times New Roman" w:eastAsia="Times New Roman" w:hAnsi="Times New Roman"/>
          <w:sz w:val="24"/>
          <w:szCs w:val="24"/>
          <w:rtl w:val="0"/>
        </w:rPr>
        <w:t xml:space="preserve">. One significant benefit of XGBoost was its capacity to allocate feature importance scores that were clearer and easier to understand. This made it possible to more clearly identify the main causes of vitamin D deficiency, including age, BMI, dietary consumption, and the amount of time spent in the sun. Although Random Forest also offered useful feature rankings, it was less effective at identifying important predictors since it tended to allocate importance ratings more evenly among variables.</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reasons why the two models' performances differ:</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Training Time:</w:t>
      </w:r>
      <w:r w:rsidDel="00000000" w:rsidR="00000000" w:rsidRPr="00000000">
        <w:rPr>
          <w:rFonts w:ascii="Times New Roman" w:cs="Times New Roman" w:eastAsia="Times New Roman" w:hAnsi="Times New Roman"/>
          <w:sz w:val="24"/>
          <w:szCs w:val="24"/>
          <w:rtl w:val="0"/>
        </w:rPr>
        <w:t xml:space="preserve"> Random Forest trained more quickly due to its parallel tree construction, while XGBoost needed a little more time because of its sequential tree creation and hyperparameter optimization.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Computational Complexity:</w:t>
      </w:r>
      <w:r w:rsidDel="00000000" w:rsidR="00000000" w:rsidRPr="00000000">
        <w:rPr>
          <w:rFonts w:ascii="Times New Roman" w:cs="Times New Roman" w:eastAsia="Times New Roman" w:hAnsi="Times New Roman"/>
          <w:sz w:val="24"/>
          <w:szCs w:val="24"/>
          <w:rtl w:val="0"/>
        </w:rPr>
        <w:t xml:space="preserve"> XGBoost achieved improved accuracy with only slightly higher resource consumption thanks to optimizations like tree pruning and shrinkage, but Random Forest had a reduced computational overhead.</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Dimensionality Handling: </w:t>
      </w:r>
      <w:r w:rsidDel="00000000" w:rsidR="00000000" w:rsidRPr="00000000">
        <w:rPr>
          <w:rFonts w:ascii="Times New Roman" w:cs="Times New Roman" w:eastAsia="Times New Roman" w:hAnsi="Times New Roman"/>
          <w:sz w:val="24"/>
          <w:szCs w:val="24"/>
          <w:rtl w:val="0"/>
        </w:rPr>
        <w:t xml:space="preserve">XGBoost's regularization parameters assisted in preventing overfitting in situations when features were linked, although both models performed well in handling high-dimensional health data.</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show that, in comparison to bagging-based techniques, boosting-based methods, such as XGBoost, can provide better prediction accuracy and feature interpretability for modeling vitamin D deficiency. Random Forest is still a good option, nevertheless, in situations where accuracy requirements are marginally lower and computational speed is crucial.</w:t>
      </w:r>
      <w:hyperlink r:id="rId15">
        <w:r w:rsidDel="00000000" w:rsidR="00000000" w:rsidRPr="00000000">
          <w:rPr>
            <w:rFonts w:ascii="Times New Roman" w:cs="Times New Roman" w:eastAsia="Times New Roman" w:hAnsi="Times New Roman"/>
            <w:b w:val="0"/>
            <w:color w:val="000000"/>
            <w:sz w:val="24"/>
            <w:szCs w:val="24"/>
            <w:u w:val="none"/>
            <w:rtl w:val="0"/>
          </w:rPr>
          <w:t xml:space="preserve">(Dowd &amp; Stafford, 2012; Özdemir, 2021)</w:t>
        </w:r>
      </w:hyperlink>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can be used by healthcare researchers and practitioners to create predictive systems that strike a balance between precision, interpretability, and computational efficiency. This will eventually allow for more specialized interventions and individualized dietary advice for people who are at risk of vitamin D deficiency.</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 comparison of Random Forest Regression and XGBoost Regression, this work shows how well ensemble machine learning techniques may improve the prediction of vitamin D deficiency. According to experimental data, XGBoost outperformed Random Forest with an accuracy of 99.70% as opposed to 93.60%. It also had a smaller RMSE and more pronounced feature priority rankings. While Random Forest's bagging strategy showed to be faster to train but somewhat less accurate, XGBoost's improved performance can be due to its boosting mechanism, which successfully captures complicated nonlinear correlations and interactions among health, lifestyle, and environmental factors.</w:t>
      </w:r>
      <w:hyperlink r:id="rId16">
        <w:r w:rsidDel="00000000" w:rsidR="00000000" w:rsidRPr="00000000">
          <w:rPr>
            <w:rFonts w:ascii="Times New Roman" w:cs="Times New Roman" w:eastAsia="Times New Roman" w:hAnsi="Times New Roman"/>
            <w:b w:val="0"/>
            <w:color w:val="000000"/>
            <w:sz w:val="24"/>
            <w:szCs w:val="24"/>
            <w:u w:val="none"/>
            <w:rtl w:val="0"/>
          </w:rPr>
          <w:t xml:space="preserve">(Courbebaisse &amp; Cavalier, 2020)</w:t>
        </w:r>
      </w:hyperlink>
      <w:r w:rsidDel="00000000" w:rsidR="00000000" w:rsidRPr="00000000">
        <w:rPr>
          <w:rFonts w:ascii="Times New Roman" w:cs="Times New Roman" w:eastAsia="Times New Roman" w:hAnsi="Times New Roman"/>
          <w:sz w:val="24"/>
          <w:szCs w:val="24"/>
          <w:rtl w:val="0"/>
        </w:rPr>
        <w:t xml:space="preserve"> Targeted preventative actions and tailored suggestions are made possible by the improved interpretability of XGBoost's feature importance analysis, which offers insightful information about the most significant predictors of vitamin D deficiency. </w:t>
      </w:r>
      <w:r w:rsidDel="00000000" w:rsidR="00000000" w:rsidRPr="00000000">
        <w:rPr>
          <w:rtl w:val="0"/>
        </w:rPr>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after="240" w:befor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4F">
      <w:pPr>
        <w:widowControl w:val="0"/>
        <w:numPr>
          <w:ilvl w:val="0"/>
          <w:numId w:val="1"/>
        </w:numPr>
        <w:spacing w:before="280" w:line="480" w:lineRule="auto"/>
        <w:ind w:left="720" w:hanging="360"/>
        <w:rPr>
          <w:rFonts w:ascii="Times New Roman" w:cs="Times New Roman" w:eastAsia="Times New Roman" w:hAnsi="Times New Roman"/>
          <w:sz w:val="24"/>
          <w:szCs w:val="24"/>
          <w:u w:val="none"/>
        </w:rPr>
      </w:pPr>
      <w:hyperlink r:id="rId17">
        <w:r w:rsidDel="00000000" w:rsidR="00000000" w:rsidRPr="00000000">
          <w:rPr>
            <w:rFonts w:ascii="Times New Roman" w:cs="Times New Roman" w:eastAsia="Times New Roman" w:hAnsi="Times New Roman"/>
            <w:sz w:val="24"/>
            <w:szCs w:val="24"/>
            <w:rtl w:val="0"/>
          </w:rPr>
          <w:t xml:space="preserve">Barbosa-Cortés, L., Morales-Montes, S. B., Maldonado-Alvarado, M., Martin-Trejo, J. A., Atilano-Miguel, S., Jiménez-Aguayo, E., Martínez-Becerril, F. I., Cortés-Beltrán, V. M., Hernández-Barbosa, A. V., Solís-Labastida, K. A., Maldonado-Hernández, J., Bautista-Martínez, B. A., Juárez-Moya, A., Hernández-Piñón, Z., Domínguez-Salgado, J. M., Villa-Morales, J., &amp; Domínguez-Calderón, I. (2025). Impact of Omega-3 and Vitamin D Supplementation on Bone Turnover Markers in Children with Leukemia: Follow-Up During and After Supplementation. </w:t>
        </w:r>
      </w:hyperlink>
      <w:hyperlink r:id="rId18">
        <w:r w:rsidDel="00000000" w:rsidR="00000000" w:rsidRPr="00000000">
          <w:rPr>
            <w:rFonts w:ascii="Times New Roman" w:cs="Times New Roman" w:eastAsia="Times New Roman" w:hAnsi="Times New Roman"/>
            <w:i w:val="1"/>
            <w:sz w:val="24"/>
            <w:szCs w:val="24"/>
            <w:rtl w:val="0"/>
          </w:rPr>
          <w:t xml:space="preserve">Nutrients</w:t>
        </w:r>
      </w:hyperlink>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i w:val="1"/>
            <w:sz w:val="24"/>
            <w:szCs w:val="24"/>
            <w:rtl w:val="0"/>
          </w:rPr>
          <w:t xml:space="preserve">17</w:t>
        </w:r>
      </w:hyperlink>
      <w:hyperlink r:id="rId21">
        <w:r w:rsidDel="00000000" w:rsidR="00000000" w:rsidRPr="00000000">
          <w:rPr>
            <w:rFonts w:ascii="Times New Roman" w:cs="Times New Roman" w:eastAsia="Times New Roman" w:hAnsi="Times New Roman"/>
            <w:sz w:val="24"/>
            <w:szCs w:val="24"/>
            <w:rtl w:val="0"/>
          </w:rPr>
          <w:t xml:space="preserve">(15). https://doi.org/</w:t>
        </w:r>
      </w:hyperlink>
      <w:hyperlink r:id="rId22">
        <w:r w:rsidDel="00000000" w:rsidR="00000000" w:rsidRPr="00000000">
          <w:rPr>
            <w:rFonts w:ascii="Times New Roman" w:cs="Times New Roman" w:eastAsia="Times New Roman" w:hAnsi="Times New Roman"/>
            <w:sz w:val="24"/>
            <w:szCs w:val="24"/>
            <w:rtl w:val="0"/>
          </w:rPr>
          <w:t xml:space="preserve">10.3390/nu17152526</w:t>
        </w:r>
      </w:hyperlink>
      <w:r w:rsidDel="00000000" w:rsidR="00000000" w:rsidRPr="00000000">
        <w:rPr>
          <w:rtl w:val="0"/>
        </w:rPr>
      </w:r>
    </w:p>
    <w:p w:rsidR="00000000" w:rsidDel="00000000" w:rsidP="00000000" w:rsidRDefault="00000000" w:rsidRPr="00000000" w14:paraId="00000050">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23">
        <w:r w:rsidDel="00000000" w:rsidR="00000000" w:rsidRPr="00000000">
          <w:rPr>
            <w:rFonts w:ascii="Times New Roman" w:cs="Times New Roman" w:eastAsia="Times New Roman" w:hAnsi="Times New Roman"/>
            <w:sz w:val="24"/>
            <w:szCs w:val="24"/>
            <w:rtl w:val="0"/>
          </w:rPr>
          <w:t xml:space="preserve">Courbebaisse, M., &amp; Cavalier, E. (2020). </w:t>
        </w:r>
      </w:hyperlink>
      <w:hyperlink r:id="rId24">
        <w:r w:rsidDel="00000000" w:rsidR="00000000" w:rsidRPr="00000000">
          <w:rPr>
            <w:rFonts w:ascii="Times New Roman" w:cs="Times New Roman" w:eastAsia="Times New Roman" w:hAnsi="Times New Roman"/>
            <w:i w:val="1"/>
            <w:sz w:val="24"/>
            <w:szCs w:val="24"/>
            <w:rtl w:val="0"/>
          </w:rPr>
          <w:t xml:space="preserve">Vitamin D in 2020: Stop or Not Yet?</w:t>
        </w:r>
      </w:hyperlink>
      <w:hyperlink r:id="rId25">
        <w:r w:rsidDel="00000000" w:rsidR="00000000" w:rsidRPr="00000000">
          <w:rPr>
            <w:rFonts w:ascii="Times New Roman" w:cs="Times New Roman" w:eastAsia="Times New Roman" w:hAnsi="Times New Roman"/>
            <w:sz w:val="24"/>
            <w:szCs w:val="24"/>
            <w:rtl w:val="0"/>
          </w:rPr>
          <w:t xml:space="preserve"> MDPI.</w:t>
        </w:r>
      </w:hyperlink>
      <w:r w:rsidDel="00000000" w:rsidR="00000000" w:rsidRPr="00000000">
        <w:rPr>
          <w:rtl w:val="0"/>
        </w:rPr>
      </w:r>
    </w:p>
    <w:p w:rsidR="00000000" w:rsidDel="00000000" w:rsidP="00000000" w:rsidRDefault="00000000" w:rsidRPr="00000000" w14:paraId="00000051">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26">
        <w:r w:rsidDel="00000000" w:rsidR="00000000" w:rsidRPr="00000000">
          <w:rPr>
            <w:rFonts w:ascii="Times New Roman" w:cs="Times New Roman" w:eastAsia="Times New Roman" w:hAnsi="Times New Roman"/>
            <w:sz w:val="24"/>
            <w:szCs w:val="24"/>
            <w:rtl w:val="0"/>
          </w:rPr>
          <w:t xml:space="preserve">Dowd, J., &amp; Stafford, D. (2012). </w:t>
        </w:r>
      </w:hyperlink>
      <w:hyperlink r:id="rId27">
        <w:r w:rsidDel="00000000" w:rsidR="00000000" w:rsidRPr="00000000">
          <w:rPr>
            <w:rFonts w:ascii="Times New Roman" w:cs="Times New Roman" w:eastAsia="Times New Roman" w:hAnsi="Times New Roman"/>
            <w:i w:val="1"/>
            <w:sz w:val="24"/>
            <w:szCs w:val="24"/>
            <w:rtl w:val="0"/>
          </w:rPr>
          <w:t xml:space="preserve">The Vitamin D Cure, Revised</w:t>
        </w:r>
      </w:hyperlink>
      <w:hyperlink r:id="rId28">
        <w:r w:rsidDel="00000000" w:rsidR="00000000" w:rsidRPr="00000000">
          <w:rPr>
            <w:rFonts w:ascii="Times New Roman" w:cs="Times New Roman" w:eastAsia="Times New Roman" w:hAnsi="Times New Roman"/>
            <w:sz w:val="24"/>
            <w:szCs w:val="24"/>
            <w:rtl w:val="0"/>
          </w:rPr>
          <w:t xml:space="preserve">. Turner Publishing Company.</w:t>
        </w:r>
      </w:hyperlink>
      <w:r w:rsidDel="00000000" w:rsidR="00000000" w:rsidRPr="00000000">
        <w:rPr>
          <w:rtl w:val="0"/>
        </w:rPr>
      </w:r>
    </w:p>
    <w:p w:rsidR="00000000" w:rsidDel="00000000" w:rsidP="00000000" w:rsidRDefault="00000000" w:rsidRPr="00000000" w14:paraId="00000052">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29">
        <w:r w:rsidDel="00000000" w:rsidR="00000000" w:rsidRPr="00000000">
          <w:rPr>
            <w:rFonts w:ascii="Times New Roman" w:cs="Times New Roman" w:eastAsia="Times New Roman" w:hAnsi="Times New Roman"/>
            <w:sz w:val="24"/>
            <w:szCs w:val="24"/>
            <w:rtl w:val="0"/>
          </w:rPr>
          <w:t xml:space="preserve">Erdenetsetseg, E., Shin, H. R., Ly, S. Y., &amp; Song, S. (2025). Ten-year trends in dietary vitamin D intake and its food sources among Koreans: based on the 2013-2022 Korea National Health and Nutrition Examination Survey data. </w:t>
        </w:r>
      </w:hyperlink>
      <w:hyperlink r:id="rId30">
        <w:r w:rsidDel="00000000" w:rsidR="00000000" w:rsidRPr="00000000">
          <w:rPr>
            <w:rFonts w:ascii="Times New Roman" w:cs="Times New Roman" w:eastAsia="Times New Roman" w:hAnsi="Times New Roman"/>
            <w:i w:val="1"/>
            <w:sz w:val="24"/>
            <w:szCs w:val="24"/>
            <w:rtl w:val="0"/>
          </w:rPr>
          <w:t xml:space="preserve">Nutrition Research and Practice</w:t>
        </w:r>
      </w:hyperlink>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i w:val="1"/>
            <w:sz w:val="24"/>
            <w:szCs w:val="24"/>
            <w:rtl w:val="0"/>
          </w:rPr>
          <w:t xml:space="preserve">19</w:t>
        </w:r>
      </w:hyperlink>
      <w:hyperlink r:id="rId33">
        <w:r w:rsidDel="00000000" w:rsidR="00000000" w:rsidRPr="00000000">
          <w:rPr>
            <w:rFonts w:ascii="Times New Roman" w:cs="Times New Roman" w:eastAsia="Times New Roman" w:hAnsi="Times New Roman"/>
            <w:sz w:val="24"/>
            <w:szCs w:val="24"/>
            <w:rtl w:val="0"/>
          </w:rPr>
          <w:t xml:space="preserve">(4), 577–590.</w:t>
        </w:r>
      </w:hyperlink>
      <w:r w:rsidDel="00000000" w:rsidR="00000000" w:rsidRPr="00000000">
        <w:rPr>
          <w:rtl w:val="0"/>
        </w:rPr>
      </w:r>
    </w:p>
    <w:p w:rsidR="00000000" w:rsidDel="00000000" w:rsidP="00000000" w:rsidRDefault="00000000" w:rsidRPr="00000000" w14:paraId="00000053">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34">
        <w:r w:rsidDel="00000000" w:rsidR="00000000" w:rsidRPr="00000000">
          <w:rPr>
            <w:rFonts w:ascii="Times New Roman" w:cs="Times New Roman" w:eastAsia="Times New Roman" w:hAnsi="Times New Roman"/>
            <w:sz w:val="24"/>
            <w:szCs w:val="24"/>
            <w:rtl w:val="0"/>
          </w:rPr>
          <w:t xml:space="preserve">Feldman, D., Wesley Pike, J., &amp; Glorieux, F. H. (2005). </w:t>
        </w:r>
      </w:hyperlink>
      <w:hyperlink r:id="rId35">
        <w:r w:rsidDel="00000000" w:rsidR="00000000" w:rsidRPr="00000000">
          <w:rPr>
            <w:rFonts w:ascii="Times New Roman" w:cs="Times New Roman" w:eastAsia="Times New Roman" w:hAnsi="Times New Roman"/>
            <w:i w:val="1"/>
            <w:sz w:val="24"/>
            <w:szCs w:val="24"/>
            <w:rtl w:val="0"/>
          </w:rPr>
          <w:t xml:space="preserve">Vitamin D</w:t>
        </w:r>
      </w:hyperlink>
      <w:hyperlink r:id="rId36">
        <w:r w:rsidDel="00000000" w:rsidR="00000000" w:rsidRPr="00000000">
          <w:rPr>
            <w:rFonts w:ascii="Times New Roman" w:cs="Times New Roman" w:eastAsia="Times New Roman" w:hAnsi="Times New Roman"/>
            <w:sz w:val="24"/>
            <w:szCs w:val="24"/>
            <w:rtl w:val="0"/>
          </w:rPr>
          <w:t xml:space="preserve">. Elsevier.</w:t>
        </w:r>
      </w:hyperlink>
      <w:r w:rsidDel="00000000" w:rsidR="00000000" w:rsidRPr="00000000">
        <w:rPr>
          <w:rtl w:val="0"/>
        </w:rPr>
      </w:r>
    </w:p>
    <w:p w:rsidR="00000000" w:rsidDel="00000000" w:rsidP="00000000" w:rsidRDefault="00000000" w:rsidRPr="00000000" w14:paraId="00000054">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37">
        <w:r w:rsidDel="00000000" w:rsidR="00000000" w:rsidRPr="00000000">
          <w:rPr>
            <w:rFonts w:ascii="Times New Roman" w:cs="Times New Roman" w:eastAsia="Times New Roman" w:hAnsi="Times New Roman"/>
            <w:sz w:val="24"/>
            <w:szCs w:val="24"/>
            <w:rtl w:val="0"/>
          </w:rPr>
          <w:t xml:space="preserve">Feng, X., Yin, Q., Kang, Y., Jiang, K., Xu, M., &amp; Wang, F. (2025). The role of vitamin D deficiency and modifiable risk factors in patients with Crohn’s disease. </w:t>
        </w:r>
      </w:hyperlink>
      <w:hyperlink r:id="rId38">
        <w:r w:rsidDel="00000000" w:rsidR="00000000" w:rsidRPr="00000000">
          <w:rPr>
            <w:rFonts w:ascii="Times New Roman" w:cs="Times New Roman" w:eastAsia="Times New Roman" w:hAnsi="Times New Roman"/>
            <w:i w:val="1"/>
            <w:sz w:val="24"/>
            <w:szCs w:val="24"/>
            <w:rtl w:val="0"/>
          </w:rPr>
          <w:t xml:space="preserve">Frontiers in Immunology</w:t>
        </w:r>
      </w:hyperlink>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i w:val="1"/>
            <w:sz w:val="24"/>
            <w:szCs w:val="24"/>
            <w:rtl w:val="0"/>
          </w:rPr>
          <w:t xml:space="preserve">16</w:t>
        </w:r>
      </w:hyperlink>
      <w:hyperlink r:id="rId41">
        <w:r w:rsidDel="00000000" w:rsidR="00000000" w:rsidRPr="00000000">
          <w:rPr>
            <w:rFonts w:ascii="Times New Roman" w:cs="Times New Roman" w:eastAsia="Times New Roman" w:hAnsi="Times New Roman"/>
            <w:sz w:val="24"/>
            <w:szCs w:val="24"/>
            <w:rtl w:val="0"/>
          </w:rPr>
          <w:t xml:space="preserve">, 1616924.</w:t>
        </w:r>
      </w:hyperlink>
      <w:r w:rsidDel="00000000" w:rsidR="00000000" w:rsidRPr="00000000">
        <w:rPr>
          <w:rtl w:val="0"/>
        </w:rPr>
      </w:r>
    </w:p>
    <w:p w:rsidR="00000000" w:rsidDel="00000000" w:rsidP="00000000" w:rsidRDefault="00000000" w:rsidRPr="00000000" w14:paraId="00000055">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42">
        <w:r w:rsidDel="00000000" w:rsidR="00000000" w:rsidRPr="00000000">
          <w:rPr>
            <w:rFonts w:ascii="Times New Roman" w:cs="Times New Roman" w:eastAsia="Times New Roman" w:hAnsi="Times New Roman"/>
            <w:sz w:val="24"/>
            <w:szCs w:val="24"/>
            <w:rtl w:val="0"/>
          </w:rPr>
          <w:t xml:space="preserve">Hewison, M., Bouillon, R., Giovannucci, E., &amp; Goltzman, D. (2017). </w:t>
        </w:r>
      </w:hyperlink>
      <w:hyperlink r:id="rId43">
        <w:r w:rsidDel="00000000" w:rsidR="00000000" w:rsidRPr="00000000">
          <w:rPr>
            <w:rFonts w:ascii="Times New Roman" w:cs="Times New Roman" w:eastAsia="Times New Roman" w:hAnsi="Times New Roman"/>
            <w:i w:val="1"/>
            <w:sz w:val="24"/>
            <w:szCs w:val="24"/>
            <w:rtl w:val="0"/>
          </w:rPr>
          <w:t xml:space="preserve">Vitamin D: Volume 2: Health, Disease and Therapeutics</w:t>
        </w:r>
      </w:hyperlink>
      <w:hyperlink r:id="rId44">
        <w:r w:rsidDel="00000000" w:rsidR="00000000" w:rsidRPr="00000000">
          <w:rPr>
            <w:rFonts w:ascii="Times New Roman" w:cs="Times New Roman" w:eastAsia="Times New Roman" w:hAnsi="Times New Roman"/>
            <w:sz w:val="24"/>
            <w:szCs w:val="24"/>
            <w:rtl w:val="0"/>
          </w:rPr>
          <w:t xml:space="preserve">. Academic Press.</w:t>
        </w:r>
      </w:hyperlink>
      <w:r w:rsidDel="00000000" w:rsidR="00000000" w:rsidRPr="00000000">
        <w:rPr>
          <w:rtl w:val="0"/>
        </w:rPr>
      </w:r>
    </w:p>
    <w:p w:rsidR="00000000" w:rsidDel="00000000" w:rsidP="00000000" w:rsidRDefault="00000000" w:rsidRPr="00000000" w14:paraId="00000056">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45">
        <w:r w:rsidDel="00000000" w:rsidR="00000000" w:rsidRPr="00000000">
          <w:rPr>
            <w:rFonts w:ascii="Times New Roman" w:cs="Times New Roman" w:eastAsia="Times New Roman" w:hAnsi="Times New Roman"/>
            <w:sz w:val="24"/>
            <w:szCs w:val="24"/>
            <w:rtl w:val="0"/>
          </w:rPr>
          <w:t xml:space="preserve">Jaramillo, B. M., Acosta, J. P., Lee, S. A., Murphy, M. R., &amp; Stein, H. H. (2025). Microbial phytase and 25-hydroxy-vitamin D3 fed to growing pigs increase digestibility of calcium and phosphorus and influence plasma vitamin D metabolites and serum bone biomarkers, but effects are not always additive. </w:t>
        </w:r>
      </w:hyperlink>
      <w:hyperlink r:id="rId46">
        <w:r w:rsidDel="00000000" w:rsidR="00000000" w:rsidRPr="00000000">
          <w:rPr>
            <w:rFonts w:ascii="Times New Roman" w:cs="Times New Roman" w:eastAsia="Times New Roman" w:hAnsi="Times New Roman"/>
            <w:i w:val="1"/>
            <w:sz w:val="24"/>
            <w:szCs w:val="24"/>
            <w:rtl w:val="0"/>
          </w:rPr>
          <w:t xml:space="preserve">Journal of Animal Science</w:t>
        </w:r>
      </w:hyperlink>
      <w:hyperlink r:id="rId47">
        <w:r w:rsidDel="00000000" w:rsidR="00000000" w:rsidRPr="00000000">
          <w:rPr>
            <w:rFonts w:ascii="Times New Roman" w:cs="Times New Roman" w:eastAsia="Times New Roman" w:hAnsi="Times New Roman"/>
            <w:sz w:val="24"/>
            <w:szCs w:val="24"/>
            <w:rtl w:val="0"/>
          </w:rPr>
          <w:t xml:space="preserve">. https://doi.org/</w:t>
        </w:r>
      </w:hyperlink>
      <w:hyperlink r:id="rId48">
        <w:r w:rsidDel="00000000" w:rsidR="00000000" w:rsidRPr="00000000">
          <w:rPr>
            <w:rFonts w:ascii="Times New Roman" w:cs="Times New Roman" w:eastAsia="Times New Roman" w:hAnsi="Times New Roman"/>
            <w:sz w:val="24"/>
            <w:szCs w:val="24"/>
            <w:rtl w:val="0"/>
          </w:rPr>
          <w:t xml:space="preserve">10.1093/jas/skaf273</w:t>
        </w:r>
      </w:hyperlink>
      <w:r w:rsidDel="00000000" w:rsidR="00000000" w:rsidRPr="00000000">
        <w:rPr>
          <w:rtl w:val="0"/>
        </w:rPr>
      </w:r>
    </w:p>
    <w:p w:rsidR="00000000" w:rsidDel="00000000" w:rsidP="00000000" w:rsidRDefault="00000000" w:rsidRPr="00000000" w14:paraId="00000057">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49">
        <w:r w:rsidDel="00000000" w:rsidR="00000000" w:rsidRPr="00000000">
          <w:rPr>
            <w:rFonts w:ascii="Times New Roman" w:cs="Times New Roman" w:eastAsia="Times New Roman" w:hAnsi="Times New Roman"/>
            <w:sz w:val="24"/>
            <w:szCs w:val="24"/>
            <w:rtl w:val="0"/>
          </w:rPr>
          <w:t xml:space="preserve">Lee, J. H., Kim, W. S., Jin, X. C., Kim, B. M., &amp; Lee, H. G. (2025). Vitamin D3 inhibits proliferation and the early stage of adipogenic differentiation but promotes gene expression and lipid accumulation during the late stage of adipogenic differentiation in intramuscular adipose cells of Korean native cattle. </w:t>
        </w:r>
      </w:hyperlink>
      <w:hyperlink r:id="rId50">
        <w:r w:rsidDel="00000000" w:rsidR="00000000" w:rsidRPr="00000000">
          <w:rPr>
            <w:rFonts w:ascii="Times New Roman" w:cs="Times New Roman" w:eastAsia="Times New Roman" w:hAnsi="Times New Roman"/>
            <w:i w:val="1"/>
            <w:sz w:val="24"/>
            <w:szCs w:val="24"/>
            <w:rtl w:val="0"/>
          </w:rPr>
          <w:t xml:space="preserve">Journal of Animal Science</w:t>
        </w:r>
      </w:hyperlink>
      <w:hyperlink r:id="rId51">
        <w:r w:rsidDel="00000000" w:rsidR="00000000" w:rsidRPr="00000000">
          <w:rPr>
            <w:rFonts w:ascii="Times New Roman" w:cs="Times New Roman" w:eastAsia="Times New Roman" w:hAnsi="Times New Roman"/>
            <w:sz w:val="24"/>
            <w:szCs w:val="24"/>
            <w:rtl w:val="0"/>
          </w:rPr>
          <w:t xml:space="preserve">. https://doi.org/</w:t>
        </w:r>
      </w:hyperlink>
      <w:hyperlink r:id="rId52">
        <w:r w:rsidDel="00000000" w:rsidR="00000000" w:rsidRPr="00000000">
          <w:rPr>
            <w:rFonts w:ascii="Times New Roman" w:cs="Times New Roman" w:eastAsia="Times New Roman" w:hAnsi="Times New Roman"/>
            <w:sz w:val="24"/>
            <w:szCs w:val="24"/>
            <w:rtl w:val="0"/>
          </w:rPr>
          <w:t xml:space="preserve">10.1093/jas/skaf259</w:t>
        </w:r>
      </w:hyperlink>
      <w:r w:rsidDel="00000000" w:rsidR="00000000" w:rsidRPr="00000000">
        <w:rPr>
          <w:rtl w:val="0"/>
        </w:rPr>
      </w:r>
    </w:p>
    <w:p w:rsidR="00000000" w:rsidDel="00000000" w:rsidP="00000000" w:rsidRDefault="00000000" w:rsidRPr="00000000" w14:paraId="00000058">
      <w:pPr>
        <w:widowControl w:val="0"/>
        <w:numPr>
          <w:ilvl w:val="0"/>
          <w:numId w:val="1"/>
        </w:numPr>
        <w:spacing w:line="480" w:lineRule="auto"/>
        <w:ind w:left="720" w:hanging="360"/>
        <w:rPr>
          <w:rFonts w:ascii="Times New Roman" w:cs="Times New Roman" w:eastAsia="Times New Roman" w:hAnsi="Times New Roman"/>
          <w:sz w:val="24"/>
          <w:szCs w:val="24"/>
          <w:u w:val="none"/>
        </w:rPr>
      </w:pPr>
      <w:hyperlink r:id="rId53">
        <w:r w:rsidDel="00000000" w:rsidR="00000000" w:rsidRPr="00000000">
          <w:rPr>
            <w:rFonts w:ascii="Times New Roman" w:cs="Times New Roman" w:eastAsia="Times New Roman" w:hAnsi="Times New Roman"/>
            <w:sz w:val="24"/>
            <w:szCs w:val="24"/>
            <w:rtl w:val="0"/>
          </w:rPr>
          <w:t xml:space="preserve">Liu, Y., Zhong, Z., Xie, J., Ni, B., &amp; Wu, Y. (2025). Neuroprotective Roles of Vitamin D: Bridging the Gap Between Mechanisms and Clinical Applications in Cognitive Decline. </w:t>
        </w:r>
      </w:hyperlink>
      <w:hyperlink r:id="rId54">
        <w:r w:rsidDel="00000000" w:rsidR="00000000" w:rsidRPr="00000000">
          <w:rPr>
            <w:rFonts w:ascii="Times New Roman" w:cs="Times New Roman" w:eastAsia="Times New Roman" w:hAnsi="Times New Roman"/>
            <w:i w:val="1"/>
            <w:sz w:val="24"/>
            <w:szCs w:val="24"/>
            <w:rtl w:val="0"/>
          </w:rPr>
          <w:t xml:space="preserve">International Journal of Molecular Sciences</w:t>
        </w:r>
      </w:hyperlink>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i w:val="1"/>
            <w:sz w:val="24"/>
            <w:szCs w:val="24"/>
            <w:rtl w:val="0"/>
          </w:rPr>
          <w:t xml:space="preserve">26</w:t>
        </w:r>
      </w:hyperlink>
      <w:hyperlink r:id="rId57">
        <w:r w:rsidDel="00000000" w:rsidR="00000000" w:rsidRPr="00000000">
          <w:rPr>
            <w:rFonts w:ascii="Times New Roman" w:cs="Times New Roman" w:eastAsia="Times New Roman" w:hAnsi="Times New Roman"/>
            <w:sz w:val="24"/>
            <w:szCs w:val="24"/>
            <w:rtl w:val="0"/>
          </w:rPr>
          <w:t xml:space="preserve">(15). https://doi.org/</w:t>
        </w:r>
      </w:hyperlink>
      <w:hyperlink r:id="rId58">
        <w:r w:rsidDel="00000000" w:rsidR="00000000" w:rsidRPr="00000000">
          <w:rPr>
            <w:rFonts w:ascii="Times New Roman" w:cs="Times New Roman" w:eastAsia="Times New Roman" w:hAnsi="Times New Roman"/>
            <w:sz w:val="24"/>
            <w:szCs w:val="24"/>
            <w:rtl w:val="0"/>
          </w:rPr>
          <w:t xml:space="preserve">10.3390/ijms26157146</w:t>
        </w:r>
      </w:hyperlink>
      <w:r w:rsidDel="00000000" w:rsidR="00000000" w:rsidRPr="00000000">
        <w:rPr>
          <w:rtl w:val="0"/>
        </w:rPr>
      </w:r>
    </w:p>
    <w:p w:rsidR="00000000" w:rsidDel="00000000" w:rsidP="00000000" w:rsidRDefault="00000000" w:rsidRPr="00000000" w14:paraId="00000059">
      <w:pPr>
        <w:widowControl w:val="0"/>
        <w:numPr>
          <w:ilvl w:val="0"/>
          <w:numId w:val="1"/>
        </w:numPr>
        <w:spacing w:after="280" w:line="480" w:lineRule="auto"/>
        <w:ind w:left="720" w:hanging="360"/>
        <w:rPr>
          <w:rFonts w:ascii="Times New Roman" w:cs="Times New Roman" w:eastAsia="Times New Roman" w:hAnsi="Times New Roman"/>
          <w:sz w:val="24"/>
          <w:szCs w:val="24"/>
          <w:u w:val="none"/>
        </w:rPr>
      </w:pPr>
      <w:hyperlink r:id="rId59">
        <w:r w:rsidDel="00000000" w:rsidR="00000000" w:rsidRPr="00000000">
          <w:rPr>
            <w:rFonts w:ascii="Times New Roman" w:cs="Times New Roman" w:eastAsia="Times New Roman" w:hAnsi="Times New Roman"/>
            <w:sz w:val="24"/>
            <w:szCs w:val="24"/>
            <w:rtl w:val="0"/>
          </w:rPr>
          <w:t xml:space="preserve">Özdemir, Ö. (2021). </w:t>
        </w:r>
      </w:hyperlink>
      <w:hyperlink r:id="rId60">
        <w:r w:rsidDel="00000000" w:rsidR="00000000" w:rsidRPr="00000000">
          <w:rPr>
            <w:rFonts w:ascii="Times New Roman" w:cs="Times New Roman" w:eastAsia="Times New Roman" w:hAnsi="Times New Roman"/>
            <w:i w:val="1"/>
            <w:sz w:val="24"/>
            <w:szCs w:val="24"/>
            <w:rtl w:val="0"/>
          </w:rPr>
          <w:t xml:space="preserve">Vitamin D</w:t>
        </w:r>
      </w:hyperlink>
      <w:hyperlink r:id="rId61">
        <w:r w:rsidDel="00000000" w:rsidR="00000000" w:rsidRPr="00000000">
          <w:rPr>
            <w:rFonts w:ascii="Times New Roman" w:cs="Times New Roman" w:eastAsia="Times New Roman" w:hAnsi="Times New Roman"/>
            <w:sz w:val="24"/>
            <w:szCs w:val="24"/>
            <w:rtl w:val="0"/>
          </w:rPr>
          <w:t xml:space="preserve">. BoD – Books on Demand.</w:t>
        </w:r>
      </w:hyperlink>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j6tc64pdhpcs" w:id="3"/>
      <w:bookmarkEnd w:id="3"/>
      <w:r w:rsidDel="00000000" w:rsidR="00000000" w:rsidRPr="00000000">
        <w:rPr>
          <w:rFonts w:ascii="Times New Roman" w:cs="Times New Roman" w:eastAsia="Times New Roman" w:hAnsi="Times New Roman"/>
          <w:b w:val="1"/>
          <w:sz w:val="24"/>
          <w:szCs w:val="24"/>
          <w:rtl w:val="0"/>
        </w:rPr>
        <w:t xml:space="preserve">TABLES AND CONTENTS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sz w:val="24"/>
          <w:szCs w:val="24"/>
        </w:rPr>
      </w:pPr>
      <w:r w:rsidDel="00000000" w:rsidR="00000000" w:rsidRPr="00000000">
        <w:rPr>
          <w:rFonts w:ascii="Times New Roman" w:cs="Times New Roman" w:eastAsia="Times New Roman" w:hAnsi="Times New Roman"/>
          <w:b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Statistical analysis was conducted on two algorithms across 10 iterations. The results indicate that RF consistently outperforms XG BOOST in terms of mean accuracy. Both the SD and SD Err of the Mean were evaluated, further highlighting the difference in performance between the two algorithms. </w:t>
      </w: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20"/>
        <w:gridCol w:w="1215"/>
        <w:gridCol w:w="1515"/>
        <w:gridCol w:w="1755"/>
        <w:gridCol w:w="1860"/>
        <w:tblGridChange w:id="0">
          <w:tblGrid>
            <w:gridCol w:w="1695"/>
            <w:gridCol w:w="1320"/>
            <w:gridCol w:w="1215"/>
            <w:gridCol w:w="1515"/>
            <w:gridCol w:w="1755"/>
            <w:gridCol w:w="18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GROUPS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Mean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Std.Deviation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SD. Err Mean</w:t>
            </w:r>
          </w:p>
        </w:tc>
      </w:tr>
      <w:tr>
        <w:trPr>
          <w:cantSplit w:val="0"/>
          <w:trHeight w:val="495"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sz w:val="24"/>
                <w:szCs w:val="24"/>
              </w:rPr>
            </w:pPr>
            <w:r w:rsidDel="00000000" w:rsidR="00000000" w:rsidRPr="00000000">
              <w:rPr>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sz w:val="24"/>
                <w:szCs w:val="24"/>
              </w:rPr>
            </w:pPr>
            <w:r w:rsidDel="00000000" w:rsidR="00000000" w:rsidRPr="00000000">
              <w:rPr>
                <w:sz w:val="24"/>
                <w:szCs w:val="24"/>
                <w:rtl w:val="0"/>
              </w:rPr>
              <w:t xml:space="preserve">RF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sz w:val="24"/>
                <w:szCs w:val="24"/>
              </w:rPr>
            </w:pPr>
            <w:r w:rsidDel="00000000" w:rsidR="00000000" w:rsidRPr="00000000">
              <w:rPr>
                <w:sz w:val="24"/>
                <w:szCs w:val="24"/>
                <w:rtl w:val="0"/>
              </w:rPr>
              <w:t xml:space="preserve">93.6000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sz w:val="24"/>
                <w:szCs w:val="24"/>
              </w:rPr>
            </w:pPr>
            <w:r w:rsidDel="00000000" w:rsidR="00000000" w:rsidRPr="00000000">
              <w:rPr>
                <w:sz w:val="24"/>
                <w:szCs w:val="24"/>
                <w:rtl w:val="0"/>
              </w:rPr>
              <w:t xml:space="preserve">0.27386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sz w:val="24"/>
                <w:szCs w:val="24"/>
              </w:rPr>
            </w:pPr>
            <w:r w:rsidDel="00000000" w:rsidR="00000000" w:rsidRPr="00000000">
              <w:rPr>
                <w:sz w:val="24"/>
                <w:szCs w:val="24"/>
                <w:rtl w:val="0"/>
              </w:rPr>
              <w:t xml:space="preserve">0.12247</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sz w:val="24"/>
                <w:szCs w:val="24"/>
              </w:rPr>
            </w:pPr>
            <w:r w:rsidDel="00000000" w:rsidR="00000000" w:rsidRPr="00000000">
              <w:rPr>
                <w:sz w:val="24"/>
                <w:szCs w:val="24"/>
                <w:rtl w:val="0"/>
              </w:rPr>
              <w:t xml:space="preserve">XG BOOST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sz w:val="24"/>
                <w:szCs w:val="24"/>
              </w:rPr>
            </w:pPr>
            <w:r w:rsidDel="00000000" w:rsidR="00000000" w:rsidRPr="00000000">
              <w:rPr>
                <w:sz w:val="24"/>
                <w:szCs w:val="24"/>
                <w:rtl w:val="0"/>
              </w:rPr>
              <w:t xml:space="preserve">99.7076</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sz w:val="24"/>
                <w:szCs w:val="24"/>
              </w:rPr>
            </w:pPr>
            <w:r w:rsidDel="00000000" w:rsidR="00000000" w:rsidRPr="00000000">
              <w:rPr>
                <w:sz w:val="24"/>
                <w:szCs w:val="24"/>
                <w:rtl w:val="0"/>
              </w:rPr>
              <w:t xml:space="preserve">0.18601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sz w:val="24"/>
                <w:szCs w:val="24"/>
              </w:rPr>
            </w:pPr>
            <w:r w:rsidDel="00000000" w:rsidR="00000000" w:rsidRPr="00000000">
              <w:rPr>
                <w:sz w:val="24"/>
                <w:szCs w:val="24"/>
                <w:rtl w:val="0"/>
              </w:rPr>
              <w:t xml:space="preserve">0.08319</w:t>
            </w:r>
          </w:p>
        </w:tc>
      </w:tr>
    </w:tbl>
    <w:p w:rsidR="00000000" w:rsidDel="00000000" w:rsidP="00000000" w:rsidRDefault="00000000" w:rsidRPr="00000000" w14:paraId="0000007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Comparing the accurateness and specificity of detection achieved by RF and XG BOOST. A notable statistical disparity was evident between the two algorithms (p &lt; 0.05). Descriptive analytics were applied to the dataset with a sureness interval set at 95%, and a significance level established at 0.05. </w:t>
      </w: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15"/>
        <w:gridCol w:w="615"/>
        <w:gridCol w:w="615"/>
        <w:gridCol w:w="615"/>
        <w:gridCol w:w="600"/>
        <w:gridCol w:w="1500"/>
        <w:gridCol w:w="810"/>
        <w:gridCol w:w="810"/>
        <w:gridCol w:w="945"/>
        <w:gridCol w:w="1050"/>
        <w:tblGridChange w:id="0">
          <w:tblGrid>
            <w:gridCol w:w="915"/>
            <w:gridCol w:w="915"/>
            <w:gridCol w:w="615"/>
            <w:gridCol w:w="615"/>
            <w:gridCol w:w="615"/>
            <w:gridCol w:w="600"/>
            <w:gridCol w:w="1500"/>
            <w:gridCol w:w="810"/>
            <w:gridCol w:w="810"/>
            <w:gridCol w:w="945"/>
            <w:gridCol w:w="1050"/>
          </w:tblGrid>
        </w:tblGridChange>
      </w:tblGrid>
      <w:tr>
        <w:trPr>
          <w:cantSplit w:val="0"/>
          <w:trHeight w:val="1320" w:hRule="atLeast"/>
          <w:tblHeader w:val="0"/>
        </w:trPr>
        <w:tc>
          <w:tcPr>
            <w:gridSpan w:val="2"/>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gridSpan w:val="2"/>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Levene’s Test for Equality of Variances</w:t>
            </w:r>
          </w:p>
        </w:tc>
        <w:tc>
          <w:tcPr>
            <w:gridSpan w:val="5"/>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T-test for Equality of Means </w:t>
            </w:r>
          </w:p>
        </w:tc>
        <w:tc>
          <w:tcPr>
            <w:gridSpan w:val="2"/>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95% Confidence Interval of the Diff</w:t>
            </w:r>
          </w:p>
        </w:tc>
      </w:tr>
      <w:tr>
        <w:trPr>
          <w:cantSplit w:val="0"/>
          <w:trHeight w:val="495"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b w:val="1"/>
                <w:sz w:val="24"/>
                <w:szCs w:val="24"/>
              </w:rPr>
            </w:pPr>
            <w:r w:rsidDel="00000000" w:rsidR="00000000" w:rsidRPr="00000000">
              <w:rPr>
                <w:rtl w:val="0"/>
              </w:rPr>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Sig(2-tailed)</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Std.Error difference</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Lower</w:t>
            </w:r>
          </w:p>
        </w:tc>
        <w:tc>
          <w:tcPr>
            <w:vMerge w:val="restart"/>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Upper</w:t>
            </w:r>
          </w:p>
        </w:tc>
      </w:tr>
      <w:tr>
        <w:trPr>
          <w:cantSplit w:val="0"/>
          <w:trHeight w:val="1980"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One-Sided p</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both"/>
              <w:rPr>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both"/>
              <w:rPr>
                <w:b w:val="1"/>
                <w:sz w:val="24"/>
                <w:szCs w:val="24"/>
              </w:rPr>
            </w:pPr>
            <w:r w:rsidDel="00000000" w:rsidR="00000000" w:rsidRPr="00000000">
              <w:rPr>
                <w:rtl w:val="0"/>
              </w:rPr>
            </w:r>
          </w:p>
        </w:tc>
      </w:tr>
      <w:tr>
        <w:trPr>
          <w:cantSplit w:val="0"/>
          <w:trHeight w:val="2021.86523437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assumed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0.780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&lt;0.001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0.68718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7.45628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10.34372</w:t>
            </w:r>
          </w:p>
        </w:tc>
      </w:tr>
      <w:tr>
        <w:trPr>
          <w:cantSplit w:val="0"/>
          <w:trHeight w:val="21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both"/>
              <w:rPr>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not assumed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12.951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17.971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&lt;0.001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8.90000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0.68718</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7.45611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10.34389</w:t>
            </w:r>
          </w:p>
        </w:tc>
      </w:tr>
    </w:tbl>
    <w:p w:rsidR="00000000" w:rsidDel="00000000" w:rsidP="00000000" w:rsidRDefault="00000000" w:rsidRPr="00000000" w14:paraId="000000B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Enhancing Vitamin D Deficiency Prediction (Random Forest accuracy of 93.66% and XG BOOST accuracy of 99.77%)</w:t>
      </w:r>
    </w:p>
    <w:tbl>
      <w:tblPr>
        <w:tblStyle w:val="Table3"/>
        <w:tblW w:w="886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2775"/>
        <w:gridCol w:w="3000"/>
        <w:tblGridChange w:id="0">
          <w:tblGrid>
            <w:gridCol w:w="3090"/>
            <w:gridCol w:w="2775"/>
            <w:gridCol w:w="3000"/>
          </w:tblGrid>
        </w:tblGridChange>
      </w:tblGrid>
      <w:tr>
        <w:trPr>
          <w:cantSplit w:val="0"/>
          <w:trHeight w:val="1387.11914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ind w:left="15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Iteration Number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RF</w:t>
            </w:r>
          </w:p>
          <w:p w:rsidR="00000000" w:rsidDel="00000000" w:rsidP="00000000" w:rsidRDefault="00000000" w:rsidRPr="00000000" w14:paraId="000000BF">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XG BOOST</w:t>
            </w:r>
          </w:p>
          <w:p w:rsidR="00000000" w:rsidDel="00000000" w:rsidP="00000000" w:rsidRDefault="00000000" w:rsidRPr="00000000" w14:paraId="000000C1">
            <w:pPr>
              <w:spacing w:after="240" w:befor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w:t>
            </w:r>
          </w:p>
        </w:tc>
      </w:tr>
      <w:tr>
        <w:trPr>
          <w:cantSplit w:val="0"/>
          <w:trHeight w:val="707.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ind w:left="1540" w:firstLine="0"/>
              <w:jc w:val="center"/>
              <w:rPr>
                <w:sz w:val="24"/>
                <w:szCs w:val="24"/>
              </w:rPr>
            </w:pPr>
            <w:r w:rsidDel="00000000" w:rsidR="00000000" w:rsidRPr="00000000">
              <w:rPr>
                <w:sz w:val="24"/>
                <w:szCs w:val="24"/>
                <w:rtl w:val="0"/>
              </w:rPr>
              <w:t xml:space="preserve">93.4745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99.2282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ind w:left="1540" w:firstLine="0"/>
              <w:jc w:val="center"/>
              <w:rPr>
                <w:sz w:val="24"/>
                <w:szCs w:val="24"/>
              </w:rPr>
            </w:pPr>
            <w:r w:rsidDel="00000000" w:rsidR="00000000" w:rsidRPr="00000000">
              <w:rPr>
                <w:sz w:val="24"/>
                <w:szCs w:val="24"/>
                <w:rtl w:val="0"/>
              </w:rPr>
              <w:t xml:space="preserve">94.0507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ind w:left="1540" w:firstLine="0"/>
              <w:jc w:val="center"/>
              <w:rPr>
                <w:sz w:val="24"/>
                <w:szCs w:val="24"/>
              </w:rPr>
            </w:pPr>
            <w:r w:rsidDel="00000000" w:rsidR="00000000" w:rsidRPr="00000000">
              <w:rPr>
                <w:sz w:val="24"/>
                <w:szCs w:val="24"/>
                <w:rtl w:val="0"/>
              </w:rPr>
              <w:t xml:space="preserve">93.8320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ind w:left="1540" w:firstLine="0"/>
              <w:jc w:val="center"/>
              <w:rPr>
                <w:sz w:val="24"/>
                <w:szCs w:val="24"/>
              </w:rPr>
            </w:pPr>
            <w:r w:rsidDel="00000000" w:rsidR="00000000" w:rsidRPr="00000000">
              <w:rPr>
                <w:sz w:val="24"/>
                <w:szCs w:val="24"/>
                <w:rtl w:val="0"/>
              </w:rPr>
              <w:t xml:space="preserve">93.6987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99.4199</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ind w:left="1540" w:firstLine="0"/>
              <w:jc w:val="center"/>
              <w:rPr>
                <w:sz w:val="24"/>
                <w:szCs w:val="24"/>
              </w:rPr>
            </w:pPr>
            <w:r w:rsidDel="00000000" w:rsidR="00000000" w:rsidRPr="00000000">
              <w:rPr>
                <w:sz w:val="24"/>
                <w:szCs w:val="24"/>
                <w:rtl w:val="0"/>
              </w:rPr>
              <w:t xml:space="preserve">93.2560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99.3894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ind w:left="1540" w:firstLine="0"/>
              <w:jc w:val="center"/>
              <w:rPr>
                <w:sz w:val="24"/>
                <w:szCs w:val="24"/>
              </w:rPr>
            </w:pPr>
            <w:r w:rsidDel="00000000" w:rsidR="00000000" w:rsidRPr="00000000">
              <w:rPr>
                <w:sz w:val="24"/>
                <w:szCs w:val="24"/>
                <w:rtl w:val="0"/>
              </w:rPr>
              <w:t xml:space="preserve">93.2560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99.3910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ind w:left="1540" w:firstLine="0"/>
              <w:jc w:val="center"/>
              <w:rPr>
                <w:sz w:val="24"/>
                <w:szCs w:val="24"/>
              </w:rPr>
            </w:pPr>
            <w:r w:rsidDel="00000000" w:rsidR="00000000" w:rsidRPr="00000000">
              <w:rPr>
                <w:sz w:val="24"/>
                <w:szCs w:val="24"/>
                <w:rtl w:val="0"/>
              </w:rPr>
              <w:t xml:space="preserve">93.1581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99.5118</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ind w:left="1540" w:firstLine="0"/>
              <w:jc w:val="center"/>
              <w:rPr>
                <w:sz w:val="24"/>
                <w:szCs w:val="24"/>
              </w:rPr>
            </w:pPr>
            <w:r w:rsidDel="00000000" w:rsidR="00000000" w:rsidRPr="00000000">
              <w:rPr>
                <w:sz w:val="24"/>
                <w:szCs w:val="24"/>
                <w:rtl w:val="0"/>
              </w:rPr>
              <w:t xml:space="preserve">93.9662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99.7324</w:t>
            </w:r>
          </w:p>
        </w:tc>
      </w:tr>
      <w:tr>
        <w:trPr>
          <w:cantSplit w:val="0"/>
          <w:trHeight w:val="662.373046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1540" w:firstLine="0"/>
              <w:jc w:val="center"/>
              <w:rPr>
                <w:sz w:val="24"/>
                <w:szCs w:val="24"/>
              </w:rPr>
            </w:pPr>
            <w:r w:rsidDel="00000000" w:rsidR="00000000" w:rsidRPr="00000000">
              <w:rPr>
                <w:sz w:val="24"/>
                <w:szCs w:val="24"/>
                <w:rtl w:val="0"/>
              </w:rPr>
              <w:t xml:space="preserve">93.7011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99.6395</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1540" w:firstLine="0"/>
              <w:jc w:val="center"/>
              <w:rPr>
                <w:sz w:val="24"/>
                <w:szCs w:val="24"/>
              </w:rPr>
            </w:pPr>
            <w:r w:rsidDel="00000000" w:rsidR="00000000" w:rsidRPr="00000000">
              <w:rPr>
                <w:sz w:val="24"/>
                <w:szCs w:val="24"/>
                <w:rtl w:val="0"/>
              </w:rPr>
              <w:t xml:space="preserve">93.8081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1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99.4988</w:t>
            </w:r>
          </w:p>
        </w:tc>
      </w:tr>
    </w:tbl>
    <w:p w:rsidR="00000000" w:rsidDel="00000000" w:rsidP="00000000" w:rsidRDefault="00000000" w:rsidRPr="00000000" w14:paraId="000000E0">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E1">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E2">
      <w:pPr>
        <w:spacing w:after="240" w:before="240" w:lineRule="auto"/>
        <w:jc w:val="both"/>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5943600" cy="3505200"/>
            <wp:effectExtent b="0" l="0" r="0" t="0"/>
            <wp:docPr id="1"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4">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The bar chart visually contrasts the mean accuracies of the RF algorithm and the XG BOOST algorithm. standard deviation for RF is marginally better, suggesting a more consistent performance. On the chart, the x-axis distinguishes between RF and XG BOOST, while the y-axis measures the average accuracy of detection, encompassing a range (±2) SD.</w:t>
      </w:r>
    </w:p>
    <w:p w:rsidR="00000000" w:rsidDel="00000000" w:rsidP="00000000" w:rsidRDefault="00000000" w:rsidRPr="00000000" w14:paraId="000000E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Ur8dyb/bT6N" TargetMode="External"/><Relationship Id="rId42" Type="http://schemas.openxmlformats.org/officeDocument/2006/relationships/hyperlink" Target="http://paperpile.com/b/Ur8dyb/uBjI" TargetMode="External"/><Relationship Id="rId41" Type="http://schemas.openxmlformats.org/officeDocument/2006/relationships/hyperlink" Target="http://paperpile.com/b/Ur8dyb/bT6N" TargetMode="External"/><Relationship Id="rId44" Type="http://schemas.openxmlformats.org/officeDocument/2006/relationships/hyperlink" Target="http://paperpile.com/b/Ur8dyb/uBjI" TargetMode="External"/><Relationship Id="rId43" Type="http://schemas.openxmlformats.org/officeDocument/2006/relationships/hyperlink" Target="http://paperpile.com/b/Ur8dyb/uBjI" TargetMode="External"/><Relationship Id="rId46" Type="http://schemas.openxmlformats.org/officeDocument/2006/relationships/hyperlink" Target="http://paperpile.com/b/Ur8dyb/RgvD" TargetMode="External"/><Relationship Id="rId45" Type="http://schemas.openxmlformats.org/officeDocument/2006/relationships/hyperlink" Target="http://paperpile.com/b/Ur8dyb/Rgv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Ur8dyb/XPpe" TargetMode="External"/><Relationship Id="rId48" Type="http://schemas.openxmlformats.org/officeDocument/2006/relationships/hyperlink" Target="http://dx.doi.org/10.1093/jas/skaf273" TargetMode="External"/><Relationship Id="rId47" Type="http://schemas.openxmlformats.org/officeDocument/2006/relationships/hyperlink" Target="http://paperpile.com/b/Ur8dyb/RgvD" TargetMode="External"/><Relationship Id="rId49" Type="http://schemas.openxmlformats.org/officeDocument/2006/relationships/hyperlink" Target="http://paperpile.com/b/Ur8dyb/XPpe" TargetMode="External"/><Relationship Id="rId5" Type="http://schemas.openxmlformats.org/officeDocument/2006/relationships/styles" Target="styles.xml"/><Relationship Id="rId6" Type="http://schemas.openxmlformats.org/officeDocument/2006/relationships/hyperlink" Target="https://paperpile.com/c/Ur8dyb/S8VA" TargetMode="External"/><Relationship Id="rId7" Type="http://schemas.openxmlformats.org/officeDocument/2006/relationships/hyperlink" Target="https://paperpile.com/c/Ur8dyb/bT6N" TargetMode="External"/><Relationship Id="rId8" Type="http://schemas.openxmlformats.org/officeDocument/2006/relationships/hyperlink" Target="https://paperpile.com/c/Ur8dyb/RgvD" TargetMode="External"/><Relationship Id="rId31" Type="http://schemas.openxmlformats.org/officeDocument/2006/relationships/hyperlink" Target="http://paperpile.com/b/Ur8dyb/S8VA" TargetMode="External"/><Relationship Id="rId30" Type="http://schemas.openxmlformats.org/officeDocument/2006/relationships/hyperlink" Target="http://paperpile.com/b/Ur8dyb/S8VA" TargetMode="External"/><Relationship Id="rId33" Type="http://schemas.openxmlformats.org/officeDocument/2006/relationships/hyperlink" Target="http://paperpile.com/b/Ur8dyb/S8VA" TargetMode="External"/><Relationship Id="rId32" Type="http://schemas.openxmlformats.org/officeDocument/2006/relationships/hyperlink" Target="http://paperpile.com/b/Ur8dyb/S8VA" TargetMode="External"/><Relationship Id="rId35" Type="http://schemas.openxmlformats.org/officeDocument/2006/relationships/hyperlink" Target="http://paperpile.com/b/Ur8dyb/kmYa" TargetMode="External"/><Relationship Id="rId34" Type="http://schemas.openxmlformats.org/officeDocument/2006/relationships/hyperlink" Target="http://paperpile.com/b/Ur8dyb/kmYa" TargetMode="External"/><Relationship Id="rId37" Type="http://schemas.openxmlformats.org/officeDocument/2006/relationships/hyperlink" Target="http://paperpile.com/b/Ur8dyb/bT6N" TargetMode="External"/><Relationship Id="rId36" Type="http://schemas.openxmlformats.org/officeDocument/2006/relationships/hyperlink" Target="http://paperpile.com/b/Ur8dyb/kmYa" TargetMode="External"/><Relationship Id="rId39" Type="http://schemas.openxmlformats.org/officeDocument/2006/relationships/hyperlink" Target="http://paperpile.com/b/Ur8dyb/bT6N" TargetMode="External"/><Relationship Id="rId38" Type="http://schemas.openxmlformats.org/officeDocument/2006/relationships/hyperlink" Target="http://paperpile.com/b/Ur8dyb/bT6N" TargetMode="External"/><Relationship Id="rId62" Type="http://schemas.openxmlformats.org/officeDocument/2006/relationships/image" Target="media/image1.png"/><Relationship Id="rId61" Type="http://schemas.openxmlformats.org/officeDocument/2006/relationships/hyperlink" Target="http://paperpile.com/b/Ur8dyb/cSM8" TargetMode="External"/><Relationship Id="rId20" Type="http://schemas.openxmlformats.org/officeDocument/2006/relationships/hyperlink" Target="http://paperpile.com/b/Ur8dyb/ejfq" TargetMode="External"/><Relationship Id="rId22" Type="http://schemas.openxmlformats.org/officeDocument/2006/relationships/hyperlink" Target="http://dx.doi.org/10.3390/nu17152526" TargetMode="External"/><Relationship Id="rId21" Type="http://schemas.openxmlformats.org/officeDocument/2006/relationships/hyperlink" Target="http://paperpile.com/b/Ur8dyb/ejfq" TargetMode="External"/><Relationship Id="rId24" Type="http://schemas.openxmlformats.org/officeDocument/2006/relationships/hyperlink" Target="http://paperpile.com/b/Ur8dyb/JHDh" TargetMode="External"/><Relationship Id="rId23" Type="http://schemas.openxmlformats.org/officeDocument/2006/relationships/hyperlink" Target="http://paperpile.com/b/Ur8dyb/JHDh" TargetMode="External"/><Relationship Id="rId60" Type="http://schemas.openxmlformats.org/officeDocument/2006/relationships/hyperlink" Target="http://paperpile.com/b/Ur8dyb/cSM8" TargetMode="External"/><Relationship Id="rId26" Type="http://schemas.openxmlformats.org/officeDocument/2006/relationships/hyperlink" Target="http://paperpile.com/b/Ur8dyb/Sb7p" TargetMode="External"/><Relationship Id="rId25" Type="http://schemas.openxmlformats.org/officeDocument/2006/relationships/hyperlink" Target="http://paperpile.com/b/Ur8dyb/JHDh" TargetMode="External"/><Relationship Id="rId28" Type="http://schemas.openxmlformats.org/officeDocument/2006/relationships/hyperlink" Target="http://paperpile.com/b/Ur8dyb/Sb7p" TargetMode="External"/><Relationship Id="rId27" Type="http://schemas.openxmlformats.org/officeDocument/2006/relationships/hyperlink" Target="http://paperpile.com/b/Ur8dyb/Sb7p" TargetMode="External"/><Relationship Id="rId29" Type="http://schemas.openxmlformats.org/officeDocument/2006/relationships/hyperlink" Target="http://paperpile.com/b/Ur8dyb/S8VA" TargetMode="External"/><Relationship Id="rId51" Type="http://schemas.openxmlformats.org/officeDocument/2006/relationships/hyperlink" Target="http://paperpile.com/b/Ur8dyb/XPpe" TargetMode="External"/><Relationship Id="rId50" Type="http://schemas.openxmlformats.org/officeDocument/2006/relationships/hyperlink" Target="http://paperpile.com/b/Ur8dyb/XPpe" TargetMode="External"/><Relationship Id="rId53" Type="http://schemas.openxmlformats.org/officeDocument/2006/relationships/hyperlink" Target="http://paperpile.com/b/Ur8dyb/jJz9" TargetMode="External"/><Relationship Id="rId52" Type="http://schemas.openxmlformats.org/officeDocument/2006/relationships/hyperlink" Target="http://dx.doi.org/10.1093/jas/skaf259" TargetMode="External"/><Relationship Id="rId11" Type="http://schemas.openxmlformats.org/officeDocument/2006/relationships/hyperlink" Target="https://paperpile.com/c/Ur8dyb/ejfq" TargetMode="External"/><Relationship Id="rId55" Type="http://schemas.openxmlformats.org/officeDocument/2006/relationships/hyperlink" Target="http://paperpile.com/b/Ur8dyb/jJz9" TargetMode="External"/><Relationship Id="rId10" Type="http://schemas.openxmlformats.org/officeDocument/2006/relationships/hyperlink" Target="https://paperpile.com/c/Ur8dyb/jJz9" TargetMode="External"/><Relationship Id="rId54" Type="http://schemas.openxmlformats.org/officeDocument/2006/relationships/hyperlink" Target="http://paperpile.com/b/Ur8dyb/jJz9" TargetMode="External"/><Relationship Id="rId13" Type="http://schemas.openxmlformats.org/officeDocument/2006/relationships/hyperlink" Target="https://paperpile.com/c/Ur8dyb/kmYa+uBjI" TargetMode="External"/><Relationship Id="rId57" Type="http://schemas.openxmlformats.org/officeDocument/2006/relationships/hyperlink" Target="http://paperpile.com/b/Ur8dyb/jJz9" TargetMode="External"/><Relationship Id="rId12" Type="http://schemas.openxmlformats.org/officeDocument/2006/relationships/hyperlink" Target="https://paperpile.com/c/Ur8dyb/kmYa" TargetMode="External"/><Relationship Id="rId56" Type="http://schemas.openxmlformats.org/officeDocument/2006/relationships/hyperlink" Target="http://paperpile.com/b/Ur8dyb/jJz9" TargetMode="External"/><Relationship Id="rId15" Type="http://schemas.openxmlformats.org/officeDocument/2006/relationships/hyperlink" Target="https://paperpile.com/c/Ur8dyb/Sb7p+cSM8" TargetMode="External"/><Relationship Id="rId59" Type="http://schemas.openxmlformats.org/officeDocument/2006/relationships/hyperlink" Target="http://paperpile.com/b/Ur8dyb/cSM8" TargetMode="External"/><Relationship Id="rId14" Type="http://schemas.openxmlformats.org/officeDocument/2006/relationships/hyperlink" Target="https://paperpile.com/c/Ur8dyb/Sb7p" TargetMode="External"/><Relationship Id="rId58" Type="http://schemas.openxmlformats.org/officeDocument/2006/relationships/hyperlink" Target="http://dx.doi.org/10.3390/ijms26157146" TargetMode="External"/><Relationship Id="rId17" Type="http://schemas.openxmlformats.org/officeDocument/2006/relationships/hyperlink" Target="http://paperpile.com/b/Ur8dyb/ejfq" TargetMode="External"/><Relationship Id="rId16" Type="http://schemas.openxmlformats.org/officeDocument/2006/relationships/hyperlink" Target="https://paperpile.com/c/Ur8dyb/JHDh" TargetMode="External"/><Relationship Id="rId19" Type="http://schemas.openxmlformats.org/officeDocument/2006/relationships/hyperlink" Target="http://paperpile.com/b/Ur8dyb/ejfq" TargetMode="External"/><Relationship Id="rId18" Type="http://schemas.openxmlformats.org/officeDocument/2006/relationships/hyperlink" Target="http://paperpile.com/b/Ur8dyb/ejf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