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Optimizing Vitamin D Deficiency Classification: Evaluating Random Forest Regression and Support Vector Machine to Reduce Mean Absolute Error and Improve Decision Boundary Precision</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 Thejesh Reddy¹ , Dr. Uma Priyadarsini P S²</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Thejesh Reddy¹</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thejeshreddyk1102.sse@saveetha.com</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Uma Priyadarsini P S²</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Guide,Corresponding Author,</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Deep Learning,</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11">
      <w:pPr>
        <w:spacing w:after="240" w:before="240"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umapriyadarsini@saveetha.com</w:t>
      </w:r>
    </w:p>
    <w:p w:rsidR="00000000" w:rsidDel="00000000" w:rsidP="00000000" w:rsidRDefault="00000000" w:rsidRPr="00000000" w14:paraId="00000012">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Support Vector Machine, Feature Importance, RMSE, Predictive Modeling.</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aim of this study is to investigate and compare the effectiveness of Vitamin D deficiency classification using Random Forest Regression (RFR) and Support Vector Machine (SVM) in reducing Mean Absolute Error (MAE) and improving decision boundary precision.</w:t>
      </w:r>
      <w:hyperlink r:id="rId6">
        <w:r w:rsidDel="00000000" w:rsidR="00000000" w:rsidRPr="00000000">
          <w:rPr>
            <w:rFonts w:ascii="Times New Roman" w:cs="Times New Roman" w:eastAsia="Times New Roman" w:hAnsi="Times New Roman"/>
            <w:b w:val="0"/>
            <w:color w:val="000000"/>
            <w:sz w:val="24"/>
            <w:szCs w:val="24"/>
            <w:u w:val="none"/>
            <w:rtl w:val="0"/>
          </w:rPr>
          <w:t xml:space="preserve">(Erdenetsetseg et al. 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This study evaluates and compares the performance of RFR and SVM for classifying Vitamin D deficiency using a comprehensive dataset containing various clinical and demographic factors, including age, BMI, sunlight exposure, dietary vitamin D intake, and other relevant health indicators. Feature engineering techniques were applied to optimize classification performance. A sample size of 80 for each group was determined using G*Power (0.80) for 10 iterations per group. Both models were implemented and evaluated using Python’s Scikit-learn library, with MAE as the primary performance metric.</w:t>
      </w:r>
      <w:hyperlink r:id="rId7">
        <w:r w:rsidDel="00000000" w:rsidR="00000000" w:rsidRPr="00000000">
          <w:rPr>
            <w:rFonts w:ascii="Times New Roman" w:cs="Times New Roman" w:eastAsia="Times New Roman" w:hAnsi="Times New Roman"/>
            <w:b w:val="0"/>
            <w:color w:val="000000"/>
            <w:sz w:val="24"/>
            <w:szCs w:val="24"/>
            <w:u w:val="none"/>
            <w:rtl w:val="0"/>
          </w:rPr>
          <w:t xml:space="preserve">(Erdenetsetseg et al. 2025; Feng et al. 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Based on the obtained results, Random Forest Regression achieved the highest classification accuracy of </w:t>
      </w:r>
      <w:r w:rsidDel="00000000" w:rsidR="00000000" w:rsidRPr="00000000">
        <w:rPr>
          <w:rFonts w:ascii="Times New Roman" w:cs="Times New Roman" w:eastAsia="Times New Roman" w:hAnsi="Times New Roman"/>
          <w:b w:val="1"/>
          <w:sz w:val="24"/>
          <w:szCs w:val="24"/>
          <w:rtl w:val="0"/>
        </w:rPr>
        <w:t xml:space="preserve">99.81%</w:t>
      </w:r>
      <w:r w:rsidDel="00000000" w:rsidR="00000000" w:rsidRPr="00000000">
        <w:rPr>
          <w:rFonts w:ascii="Times New Roman" w:cs="Times New Roman" w:eastAsia="Times New Roman" w:hAnsi="Times New Roman"/>
          <w:sz w:val="24"/>
          <w:szCs w:val="24"/>
          <w:rtl w:val="0"/>
        </w:rPr>
        <w:t xml:space="preserve">, with a substantially lower MAE compared to SVM, which recorded an accuracy of only </w:t>
      </w:r>
      <w:r w:rsidDel="00000000" w:rsidR="00000000" w:rsidRPr="00000000">
        <w:rPr>
          <w:rFonts w:ascii="Times New Roman" w:cs="Times New Roman" w:eastAsia="Times New Roman" w:hAnsi="Times New Roman"/>
          <w:b w:val="1"/>
          <w:sz w:val="24"/>
          <w:szCs w:val="24"/>
          <w:rtl w:val="0"/>
        </w:rPr>
        <w:t xml:space="preserve">45.31%</w:t>
      </w:r>
      <w:r w:rsidDel="00000000" w:rsidR="00000000" w:rsidRPr="00000000">
        <w:rPr>
          <w:rFonts w:ascii="Times New Roman" w:cs="Times New Roman" w:eastAsia="Times New Roman" w:hAnsi="Times New Roman"/>
          <w:sz w:val="24"/>
          <w:szCs w:val="24"/>
          <w:rtl w:val="0"/>
        </w:rPr>
        <w:t xml:space="preserve">. Statistical analysis confirmed a significant difference in performance between the two models (p &lt; 0.05). The decision boundary analysis indicated that RFR produced more precise and well-defined class separations, while SVM exhibited poor generalization for the given dataset. Feature importance analysis from RFR revealed that sunlight exposure and dietary vitamin D intake were the most influential predictors of deficiency.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This study demonstrates that Random Forest Regression significantly outperforms Support Vector Machine in Vitamin D deficiency classification, offering higher accuracy, lower MAE, and superior decision boundary precision. These findings highlight the suitability of RFR for healthcare-related classification tasks, enabling more reliable early detection and targeted intervention strategies for individuals at risk of Vitamin D deficiency.</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Support Vector Machine, Feature Importance, RMSE, Predictive Modeling.</w:t>
      </w:r>
    </w:p>
    <w:p w:rsidR="00000000" w:rsidDel="00000000" w:rsidP="00000000" w:rsidRDefault="00000000" w:rsidRPr="00000000" w14:paraId="00000016">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sg66t3fwhjcn" w:id="0"/>
      <w:bookmarkEnd w:id="0"/>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Predicting vitamin D deficiency with high accuracy is crucial for early detection, prevention, and the design of targeted medical interventions. Accurate classification helps reduce the prevalence of related health complications, improve public health outcomes, and identify at-risk individuals more effectively. In recent years, machine learning algorithms have emerged as powerful tools for achieving robust and reliable classification performance. </w:t>
      </w:r>
      <w:hyperlink r:id="rId8">
        <w:r w:rsidDel="00000000" w:rsidR="00000000" w:rsidRPr="00000000">
          <w:rPr>
            <w:rFonts w:ascii="Times New Roman" w:cs="Times New Roman" w:eastAsia="Times New Roman" w:hAnsi="Times New Roman"/>
            <w:b w:val="0"/>
            <w:color w:val="000000"/>
            <w:sz w:val="24"/>
            <w:szCs w:val="24"/>
            <w:highlight w:val="white"/>
            <w:u w:val="none"/>
            <w:rtl w:val="0"/>
          </w:rPr>
          <w:t xml:space="preserve">(Jaramillo et al. 2025)</w:t>
        </w:r>
      </w:hyperlink>
      <w:r w:rsidDel="00000000" w:rsidR="00000000" w:rsidRPr="00000000">
        <w:rPr>
          <w:rFonts w:ascii="Times New Roman" w:cs="Times New Roman" w:eastAsia="Times New Roman" w:hAnsi="Times New Roman"/>
          <w:color w:val="0d0d0d"/>
          <w:sz w:val="24"/>
          <w:szCs w:val="24"/>
          <w:highlight w:val="white"/>
          <w:rtl w:val="0"/>
        </w:rPr>
        <w:t xml:space="preserve">This study focuses on the classification of vitamin D deficiency levels using two distinct machine learning techniques: </w:t>
      </w:r>
      <w:r w:rsidDel="00000000" w:rsidR="00000000" w:rsidRPr="00000000">
        <w:rPr>
          <w:rFonts w:ascii="Times New Roman" w:cs="Times New Roman" w:eastAsia="Times New Roman" w:hAnsi="Times New Roman"/>
          <w:b w:val="1"/>
          <w:color w:val="0d0d0d"/>
          <w:sz w:val="24"/>
          <w:szCs w:val="24"/>
          <w:highlight w:val="white"/>
          <w:rtl w:val="0"/>
        </w:rPr>
        <w:t xml:space="preserve">Random Forest Regression</w:t>
      </w:r>
      <w:r w:rsidDel="00000000" w:rsidR="00000000" w:rsidRPr="00000000">
        <w:rPr>
          <w:rFonts w:ascii="Times New Roman" w:cs="Times New Roman" w:eastAsia="Times New Roman" w:hAnsi="Times New Roman"/>
          <w:color w:val="0d0d0d"/>
          <w:sz w:val="24"/>
          <w:szCs w:val="24"/>
          <w:highlight w:val="white"/>
          <w:rtl w:val="0"/>
        </w:rPr>
        <w:t xml:space="preserve"> and </w:t>
      </w:r>
      <w:r w:rsidDel="00000000" w:rsidR="00000000" w:rsidRPr="00000000">
        <w:rPr>
          <w:rFonts w:ascii="Times New Roman" w:cs="Times New Roman" w:eastAsia="Times New Roman" w:hAnsi="Times New Roman"/>
          <w:b w:val="1"/>
          <w:color w:val="0d0d0d"/>
          <w:sz w:val="24"/>
          <w:szCs w:val="24"/>
          <w:highlight w:val="white"/>
          <w:rtl w:val="0"/>
        </w:rPr>
        <w:t xml:space="preserve">Support Vector Machine (SVM)</w:t>
      </w:r>
      <w:r w:rsidDel="00000000" w:rsidR="00000000" w:rsidRPr="00000000">
        <w:rPr>
          <w:rFonts w:ascii="Times New Roman" w:cs="Times New Roman" w:eastAsia="Times New Roman" w:hAnsi="Times New Roman"/>
          <w:color w:val="0d0d0d"/>
          <w:sz w:val="24"/>
          <w:szCs w:val="24"/>
          <w:highlight w:val="white"/>
          <w:rtl w:val="0"/>
        </w:rPr>
        <w:t xml:space="preserve">. The primary objective is to identify the model that minimizes </w:t>
      </w:r>
      <w:r w:rsidDel="00000000" w:rsidR="00000000" w:rsidRPr="00000000">
        <w:rPr>
          <w:rFonts w:ascii="Times New Roman" w:cs="Times New Roman" w:eastAsia="Times New Roman" w:hAnsi="Times New Roman"/>
          <w:b w:val="1"/>
          <w:color w:val="0d0d0d"/>
          <w:sz w:val="24"/>
          <w:szCs w:val="24"/>
          <w:highlight w:val="white"/>
          <w:rtl w:val="0"/>
        </w:rPr>
        <w:t xml:space="preserve">Mean Absolute Error (MAE)</w:t>
      </w:r>
      <w:r w:rsidDel="00000000" w:rsidR="00000000" w:rsidRPr="00000000">
        <w:rPr>
          <w:rFonts w:ascii="Times New Roman" w:cs="Times New Roman" w:eastAsia="Times New Roman" w:hAnsi="Times New Roman"/>
          <w:color w:val="0d0d0d"/>
          <w:sz w:val="24"/>
          <w:szCs w:val="24"/>
          <w:highlight w:val="white"/>
          <w:rtl w:val="0"/>
        </w:rPr>
        <w:t xml:space="preserve"> while enhancing </w:t>
      </w:r>
      <w:r w:rsidDel="00000000" w:rsidR="00000000" w:rsidRPr="00000000">
        <w:rPr>
          <w:rFonts w:ascii="Times New Roman" w:cs="Times New Roman" w:eastAsia="Times New Roman" w:hAnsi="Times New Roman"/>
          <w:b w:val="1"/>
          <w:color w:val="0d0d0d"/>
          <w:sz w:val="24"/>
          <w:szCs w:val="24"/>
          <w:highlight w:val="white"/>
          <w:rtl w:val="0"/>
        </w:rPr>
        <w:t xml:space="preserve">decision boundary precision</w:t>
      </w:r>
      <w:r w:rsidDel="00000000" w:rsidR="00000000" w:rsidRPr="00000000">
        <w:rPr>
          <w:rFonts w:ascii="Times New Roman" w:cs="Times New Roman" w:eastAsia="Times New Roman" w:hAnsi="Times New Roman"/>
          <w:color w:val="0d0d0d"/>
          <w:sz w:val="24"/>
          <w:szCs w:val="24"/>
          <w:highlight w:val="white"/>
          <w:rtl w:val="0"/>
        </w:rPr>
        <w:t xml:space="preserve"> to achieve better predictive outcomes.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Random Forest Regression, an ensemble learning method based on the bagging principle, builds multiple decision trees and averages their outputs to improve stability and reduce overfitting. Its strength lies in managing nonlinear feature interactions, reducing variance, and providing clear feature importance rankings. Support Vector Machine, on the other hand, is a margin-based classifier that constructs optimal hyperplanes to separate classes in high-dimensional space, aiming to maximize classification margins and minimize generalization errors. While SVM can be highly effective in cases with well-separated classes, its performance may degrade in datasets with complex feature distributions.</w:t>
      </w:r>
      <w:hyperlink r:id="rId9">
        <w:r w:rsidDel="00000000" w:rsidR="00000000" w:rsidRPr="00000000">
          <w:rPr>
            <w:rFonts w:ascii="Times New Roman" w:cs="Times New Roman" w:eastAsia="Times New Roman" w:hAnsi="Times New Roman"/>
            <w:b w:val="0"/>
            <w:color w:val="000000"/>
            <w:sz w:val="24"/>
            <w:szCs w:val="24"/>
            <w:highlight w:val="white"/>
            <w:u w:val="none"/>
            <w:rtl w:val="0"/>
          </w:rPr>
          <w:t xml:space="preserve">(Jaramillo et al. 2025; Mikula, Unseld, and Heppner 2025)</w:t>
        </w:r>
      </w:hyperlink>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In this comparative study, </w:t>
      </w:r>
      <w:r w:rsidDel="00000000" w:rsidR="00000000" w:rsidRPr="00000000">
        <w:rPr>
          <w:rFonts w:ascii="Times New Roman" w:cs="Times New Roman" w:eastAsia="Times New Roman" w:hAnsi="Times New Roman"/>
          <w:b w:val="1"/>
          <w:color w:val="0d0d0d"/>
          <w:sz w:val="24"/>
          <w:szCs w:val="24"/>
          <w:highlight w:val="white"/>
          <w:rtl w:val="0"/>
        </w:rPr>
        <w:t xml:space="preserve">Random Forest achieved an accuracy of 99.81%</w:t>
      </w:r>
      <w:r w:rsidDel="00000000" w:rsidR="00000000" w:rsidRPr="00000000">
        <w:rPr>
          <w:rFonts w:ascii="Times New Roman" w:cs="Times New Roman" w:eastAsia="Times New Roman" w:hAnsi="Times New Roman"/>
          <w:color w:val="0d0d0d"/>
          <w:sz w:val="24"/>
          <w:szCs w:val="24"/>
          <w:highlight w:val="white"/>
          <w:rtl w:val="0"/>
        </w:rPr>
        <w:t xml:space="preserve">, substantially outperforming </w:t>
      </w:r>
      <w:r w:rsidDel="00000000" w:rsidR="00000000" w:rsidRPr="00000000">
        <w:rPr>
          <w:rFonts w:ascii="Times New Roman" w:cs="Times New Roman" w:eastAsia="Times New Roman" w:hAnsi="Times New Roman"/>
          <w:b w:val="1"/>
          <w:color w:val="0d0d0d"/>
          <w:sz w:val="24"/>
          <w:szCs w:val="24"/>
          <w:highlight w:val="white"/>
          <w:rtl w:val="0"/>
        </w:rPr>
        <w:t xml:space="preserve">SVM’s 45.31%</w:t>
      </w:r>
      <w:r w:rsidDel="00000000" w:rsidR="00000000" w:rsidRPr="00000000">
        <w:rPr>
          <w:rFonts w:ascii="Times New Roman" w:cs="Times New Roman" w:eastAsia="Times New Roman" w:hAnsi="Times New Roman"/>
          <w:color w:val="0d0d0d"/>
          <w:sz w:val="24"/>
          <w:szCs w:val="24"/>
          <w:highlight w:val="white"/>
          <w:rtl w:val="0"/>
        </w:rPr>
        <w:t xml:space="preserve">, demonstrating its superior ability to handle feature variability and complex relationships in vitamin D deficiency data. The research further explores how both methods impact MAE and how decision boundary precision can be improved for healthcare applications. By leveraging feature importance analysis from Random Forest and margin-based evaluation from SVM, this work aims to provide practical insights for public health policy, dietary guidelines, and personalized treatment strategies. The study not only advances predictive healthcare analytics but also lays a data-driven foundation for selecting the most efficient algorithm for vitamin D deficiency classification.</w:t>
      </w:r>
      <w:hyperlink r:id="rId10">
        <w:r w:rsidDel="00000000" w:rsidR="00000000" w:rsidRPr="00000000">
          <w:rPr>
            <w:rFonts w:ascii="Times New Roman" w:cs="Times New Roman" w:eastAsia="Times New Roman" w:hAnsi="Times New Roman"/>
            <w:b w:val="0"/>
            <w:color w:val="000000"/>
            <w:sz w:val="24"/>
            <w:szCs w:val="24"/>
            <w:highlight w:val="white"/>
            <w:u w:val="none"/>
            <w:rtl w:val="0"/>
          </w:rPr>
          <w:t xml:space="preserve">(Jaramillo et al. 2025; Mikula, Unseld, and Heppner 2025; Liu et al. 2025)</w:t>
        </w:r>
      </w:hyperlink>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j8vrpvnzirk" w:id="1"/>
      <w:bookmarkEnd w:id="1"/>
      <w:r w:rsidDel="00000000" w:rsidR="00000000" w:rsidRPr="00000000">
        <w:rPr>
          <w:rFonts w:ascii="Times New Roman" w:cs="Times New Roman" w:eastAsia="Times New Roman" w:hAnsi="Times New Roman"/>
          <w:b w:val="1"/>
          <w:sz w:val="24"/>
          <w:szCs w:val="24"/>
          <w:rtl w:val="0"/>
        </w:rPr>
        <w:t xml:space="preserve">MATERIALS AND METHODOLOGIES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were conducted in SSE’s Machine Learning Laboratory. An open-access Kaggle dataset containing environmental, lifestyle, and health-related attributes affecting vitamin D levels was utilized. </w:t>
      </w:r>
      <w:r w:rsidDel="00000000" w:rsidR="00000000" w:rsidRPr="00000000">
        <w:rPr>
          <w:rFonts w:ascii="Times New Roman" w:cs="Times New Roman" w:eastAsia="Times New Roman" w:hAnsi="Times New Roman"/>
          <w:b w:val="1"/>
          <w:sz w:val="24"/>
          <w:szCs w:val="24"/>
          <w:rtl w:val="0"/>
        </w:rPr>
        <w:t xml:space="preserve">ClinCalc</w:t>
      </w:r>
      <w:r w:rsidDel="00000000" w:rsidR="00000000" w:rsidRPr="00000000">
        <w:rPr>
          <w:rFonts w:ascii="Times New Roman" w:cs="Times New Roman" w:eastAsia="Times New Roman" w:hAnsi="Times New Roman"/>
          <w:sz w:val="24"/>
          <w:szCs w:val="24"/>
          <w:rtl w:val="0"/>
        </w:rPr>
        <w:t xml:space="preserve"> software was used to determine the required sample size for statistical significance. The dataset was split into </w:t>
      </w:r>
      <w:r w:rsidDel="00000000" w:rsidR="00000000" w:rsidRPr="00000000">
        <w:rPr>
          <w:rFonts w:ascii="Times New Roman" w:cs="Times New Roman" w:eastAsia="Times New Roman" w:hAnsi="Times New Roman"/>
          <w:b w:val="1"/>
          <w:sz w:val="24"/>
          <w:szCs w:val="24"/>
          <w:rtl w:val="0"/>
        </w:rPr>
        <w:t xml:space="preserve">80% training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20% testing and validation</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200 samples</w:t>
      </w:r>
      <w:r w:rsidDel="00000000" w:rsidR="00000000" w:rsidRPr="00000000">
        <w:rPr>
          <w:rFonts w:ascii="Times New Roman" w:cs="Times New Roman" w:eastAsia="Times New Roman" w:hAnsi="Times New Roman"/>
          <w:sz w:val="24"/>
          <w:szCs w:val="24"/>
          <w:rtl w:val="0"/>
        </w:rPr>
        <w:t xml:space="preserve"> for testing and </w:t>
      </w:r>
      <w:r w:rsidDel="00000000" w:rsidR="00000000" w:rsidRPr="00000000">
        <w:rPr>
          <w:rFonts w:ascii="Times New Roman" w:cs="Times New Roman" w:eastAsia="Times New Roman" w:hAnsi="Times New Roman"/>
          <w:b w:val="1"/>
          <w:sz w:val="24"/>
          <w:szCs w:val="24"/>
          <w:rtl w:val="0"/>
        </w:rPr>
        <w:t xml:space="preserve">1900 samples</w:t>
      </w:r>
      <w:r w:rsidDel="00000000" w:rsidR="00000000" w:rsidRPr="00000000">
        <w:rPr>
          <w:rFonts w:ascii="Times New Roman" w:cs="Times New Roman" w:eastAsia="Times New Roman" w:hAnsi="Times New Roman"/>
          <w:sz w:val="24"/>
          <w:szCs w:val="24"/>
          <w:rtl w:val="0"/>
        </w:rPr>
        <w:t xml:space="preserve"> for training. The study compared two models: </w:t>
      </w:r>
      <w:r w:rsidDel="00000000" w:rsidR="00000000" w:rsidRPr="00000000">
        <w:rPr>
          <w:rFonts w:ascii="Times New Roman" w:cs="Times New Roman" w:eastAsia="Times New Roman" w:hAnsi="Times New Roman"/>
          <w:b w:val="1"/>
          <w:sz w:val="24"/>
          <w:szCs w:val="24"/>
          <w:rtl w:val="0"/>
        </w:rPr>
        <w:t xml:space="preserve">Random Forest Regression (Group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Support Vector Machine (Group 2)</w:t>
      </w:r>
      <w:r w:rsidDel="00000000" w:rsidR="00000000" w:rsidRPr="00000000">
        <w:rPr>
          <w:rFonts w:ascii="Times New Roman" w:cs="Times New Roman" w:eastAsia="Times New Roman" w:hAnsi="Times New Roman"/>
          <w:sz w:val="24"/>
          <w:szCs w:val="24"/>
          <w:rtl w:val="0"/>
        </w:rPr>
        <w:t xml:space="preserve">. Statistical parameters were set to </w:t>
      </w:r>
      <w:r w:rsidDel="00000000" w:rsidR="00000000" w:rsidRPr="00000000">
        <w:rPr>
          <w:rFonts w:ascii="Times New Roman" w:cs="Times New Roman" w:eastAsia="Times New Roman" w:hAnsi="Times New Roman"/>
          <w:b w:val="1"/>
          <w:sz w:val="24"/>
          <w:szCs w:val="24"/>
          <w:rtl w:val="0"/>
        </w:rPr>
        <w:t xml:space="preserve">power = 80%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α = 0.05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iteration N = 10</w:t>
      </w:r>
      <w:r w:rsidDel="00000000" w:rsidR="00000000" w:rsidRPr="00000000">
        <w:rPr>
          <w:rFonts w:ascii="Times New Roman" w:cs="Times New Roman" w:eastAsia="Times New Roman" w:hAnsi="Times New Roman"/>
          <w:sz w:val="24"/>
          <w:szCs w:val="24"/>
          <w:rtl w:val="0"/>
        </w:rPr>
        <w:t xml:space="preserve"> for reliable evaluation.</w:t>
      </w:r>
      <w:hyperlink r:id="rId11">
        <w:r w:rsidDel="00000000" w:rsidR="00000000" w:rsidRPr="00000000">
          <w:rPr>
            <w:rFonts w:ascii="Times New Roman" w:cs="Times New Roman" w:eastAsia="Times New Roman" w:hAnsi="Times New Roman"/>
            <w:b w:val="0"/>
            <w:color w:val="000000"/>
            <w:sz w:val="24"/>
            <w:szCs w:val="24"/>
            <w:u w:val="none"/>
            <w:rtl w:val="0"/>
          </w:rPr>
          <w:t xml:space="preserve">(Tran et al. 2025)</w:t>
        </w:r>
      </w:hyperlink>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Forest Regression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ensemble learning technique called Random Forest Regression creates several decision trees during training and produces the average prediction of each tree (Breiman, 2001). Each decision tree is trained using a random subset of the dataset with replacement, according to the bagging (bootstrap aggregating) concept. This method enhances model generalization, avoids overfitting, and lowers variance. Random Forest is good at managing high-dimensional data and lowering correlation between trees because each tree is trained using a subset of features. The most significant lifestyle and health factors that contribute to vitamin D insufficiency can be identified thanks to the algorithm's feature importance scores.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 Code for Random Forest Regression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Training and testing data</w:t>
        <w:br w:type="textWrapping"/>
        <w:t xml:space="preserve"> </w:t>
      </w: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RMSE score and feature importance rankings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 </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Random Forest Regressor with desired number of trees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on the training data</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RMSE for evaluation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Extract and rank feature importance</w:t>
      </w:r>
    </w:p>
    <w:p w:rsidR="00000000" w:rsidDel="00000000" w:rsidP="00000000" w:rsidRDefault="00000000" w:rsidRPr="00000000" w14:paraId="0000002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 Vector Machine (SVM)</w:t>
      </w:r>
    </w:p>
    <w:p w:rsidR="00000000" w:rsidDel="00000000" w:rsidP="00000000" w:rsidRDefault="00000000" w:rsidRPr="00000000" w14:paraId="0000002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SVM operates by mapping input data into a higher-dimensional space (using kernel functions, if necessary) and finding the optimal hyperplane that maximizes the margin between classes. For vitamin D deficiency classification, SVM aims to identify a decision boundary that separates deficient and non-deficient cases while minimizing misclassification. However, performance depends heavily on kernel choice, parameter tuning, and class distribution.</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 Code for Support Vector Regression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Training and testing data</w:t>
        <w:br w:type="textWrapping"/>
        <w:t xml:space="preserve"> </w:t>
      </w: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RMSE score and feature importance rankings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Support Vector Regression with optimal hyperparameters </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using gradient boosting on training data</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6:Calculate RMSE for evaluation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7:Extract and rank feature importance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was used to carry out and analyze the suggested research. For additional testing, the studies were carried out on a Windows 11 operating system. A 64-bit machine, 8 GB of RAM, and, if necessary, cloud-based GPU acceleration were all part of the hardware setup. Machine learning tools like scikit-learn for Random Forest Regression and XGBoost Python API for XGBoost Regression were used to develop the code in Python. Pandas, NumPy, and Matplotlib were used for data preprocessing, visualization, and assessment.</w:t>
      </w:r>
    </w:p>
    <w:p w:rsidR="00000000" w:rsidDel="00000000" w:rsidP="00000000" w:rsidRDefault="00000000" w:rsidRPr="00000000" w14:paraId="0000003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SPSS version 26 was used to perform the statistical analysis for this study. Descriptive statistics, including mean, standard deviation, and range for vitamin D levels and associated predictors, were computed for each feature in the dataset. To evaluate differences in classification performance between the </w:t>
      </w:r>
      <w:r w:rsidDel="00000000" w:rsidR="00000000" w:rsidRPr="00000000">
        <w:rPr>
          <w:rFonts w:ascii="Times New Roman" w:cs="Times New Roman" w:eastAsia="Times New Roman" w:hAnsi="Times New Roman"/>
          <w:b w:val="1"/>
          <w:sz w:val="24"/>
          <w:szCs w:val="24"/>
          <w:rtl w:val="0"/>
        </w:rPr>
        <w:t xml:space="preserve">Random Forest Regression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Support Vector Machine (SVM)</w:t>
      </w:r>
      <w:r w:rsidDel="00000000" w:rsidR="00000000" w:rsidRPr="00000000">
        <w:rPr>
          <w:rFonts w:ascii="Times New Roman" w:cs="Times New Roman" w:eastAsia="Times New Roman" w:hAnsi="Times New Roman"/>
          <w:sz w:val="24"/>
          <w:szCs w:val="24"/>
          <w:rtl w:val="0"/>
        </w:rPr>
        <w:t xml:space="preserve"> models, group comparisons were conducted. Key evaluation metrics included </w:t>
      </w:r>
      <w:r w:rsidDel="00000000" w:rsidR="00000000" w:rsidRPr="00000000">
        <w:rPr>
          <w:rFonts w:ascii="Times New Roman" w:cs="Times New Roman" w:eastAsia="Times New Roman" w:hAnsi="Times New Roman"/>
          <w:b w:val="1"/>
          <w:sz w:val="24"/>
          <w:szCs w:val="24"/>
          <w:rtl w:val="0"/>
        </w:rPr>
        <w:t xml:space="preserve">Mean Absolute Error (MAE)</w:t>
      </w:r>
      <w:r w:rsidDel="00000000" w:rsidR="00000000" w:rsidRPr="00000000">
        <w:rPr>
          <w:rFonts w:ascii="Times New Roman" w:cs="Times New Roman" w:eastAsia="Times New Roman" w:hAnsi="Times New Roman"/>
          <w:sz w:val="24"/>
          <w:szCs w:val="24"/>
          <w:rtl w:val="0"/>
        </w:rPr>
        <w:t xml:space="preserve"> to assess prediction accuracy and decision boundary precision, as well as confusion matrix–based metrics for classification performance. Feature importance values were extracted from the Random Forest model, while decision boundary analysis was performed for SVM to assess separation quality between classes. Statistical significance testing at </w:t>
      </w:r>
      <w:r w:rsidDel="00000000" w:rsidR="00000000" w:rsidRPr="00000000">
        <w:rPr>
          <w:rFonts w:ascii="Times New Roman" w:cs="Times New Roman" w:eastAsia="Times New Roman" w:hAnsi="Times New Roman"/>
          <w:b w:val="1"/>
          <w:sz w:val="24"/>
          <w:szCs w:val="24"/>
          <w:rtl w:val="0"/>
        </w:rPr>
        <w:t xml:space="preserve">α = 0.05</w:t>
      </w:r>
      <w:r w:rsidDel="00000000" w:rsidR="00000000" w:rsidRPr="00000000">
        <w:rPr>
          <w:rFonts w:ascii="Times New Roman" w:cs="Times New Roman" w:eastAsia="Times New Roman" w:hAnsi="Times New Roman"/>
          <w:sz w:val="24"/>
          <w:szCs w:val="24"/>
          <w:rtl w:val="0"/>
        </w:rPr>
        <w:t xml:space="preserve"> was applied to determine whether the performance differences between the two models were meaningful.</w:t>
      </w:r>
    </w:p>
    <w:p w:rsidR="00000000" w:rsidDel="00000000" w:rsidP="00000000" w:rsidRDefault="00000000" w:rsidRPr="00000000" w14:paraId="00000033">
      <w:pPr>
        <w:pStyle w:val="Heading1"/>
        <w:keepNext w:val="0"/>
        <w:keepLines w:val="0"/>
        <w:spacing w:after="200" w:before="200" w:lineRule="auto"/>
        <w:jc w:val="both"/>
        <w:rPr>
          <w:rFonts w:ascii="Times New Roman" w:cs="Times New Roman" w:eastAsia="Times New Roman" w:hAnsi="Times New Roman"/>
          <w:b w:val="1"/>
          <w:sz w:val="24"/>
          <w:szCs w:val="24"/>
        </w:rPr>
      </w:pPr>
      <w:bookmarkStart w:colFirst="0" w:colLast="0" w:name="_xhhbx2s4ieh8" w:id="2"/>
      <w:bookmarkEnd w:id="2"/>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Random Forest Regression and Support Vector Machine in classifying vitamin D deficiency was assessed through comparative performance analysis.</w:t>
      </w:r>
      <w:hyperlink r:id="rId12">
        <w:r w:rsidDel="00000000" w:rsidR="00000000" w:rsidRPr="00000000">
          <w:rPr>
            <w:rFonts w:ascii="Times New Roman" w:cs="Times New Roman" w:eastAsia="Times New Roman" w:hAnsi="Times New Roman"/>
            <w:color w:val="000000"/>
            <w:sz w:val="24"/>
            <w:szCs w:val="24"/>
            <w:u w:val="none"/>
            <w:rtl w:val="0"/>
          </w:rPr>
          <w:t xml:space="preserve">(Barbosa-Cortés et al. 2025)</w:t>
        </w:r>
      </w:hyperlink>
      <w:r w:rsidDel="00000000" w:rsidR="00000000" w:rsidRPr="00000000">
        <w:rPr>
          <w:rFonts w:ascii="Times New Roman" w:cs="Times New Roman" w:eastAsia="Times New Roman" w:hAnsi="Times New Roman"/>
          <w:sz w:val="24"/>
          <w:szCs w:val="24"/>
          <w:rtl w:val="0"/>
        </w:rPr>
        <w:t xml:space="preserve"> The focus was on minimizing MAE and enhancing decision boundary precision for improved healthcare predictions. SPSS was employed to calculate the descriptive statistics and to compare classification accuracy between the two models.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processing </w:t>
      </w:r>
      <w:r w:rsidDel="00000000" w:rsidR="00000000" w:rsidRPr="00000000">
        <w:rPr>
          <w:rFonts w:ascii="Times New Roman" w:cs="Times New Roman" w:eastAsia="Times New Roman" w:hAnsi="Times New Roman"/>
          <w:b w:val="1"/>
          <w:sz w:val="24"/>
          <w:szCs w:val="24"/>
          <w:rtl w:val="0"/>
        </w:rPr>
        <w:t xml:space="preserve">2,100 samples</w:t>
      </w:r>
      <w:r w:rsidDel="00000000" w:rsidR="00000000" w:rsidRPr="00000000">
        <w:rPr>
          <w:rFonts w:ascii="Times New Roman" w:cs="Times New Roman" w:eastAsia="Times New Roman" w:hAnsi="Times New Roman"/>
          <w:sz w:val="24"/>
          <w:szCs w:val="24"/>
          <w:rtl w:val="0"/>
        </w:rPr>
        <w:t xml:space="preserve"> are presented in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mean accuracy for </w:t>
      </w:r>
      <w:r w:rsidDel="00000000" w:rsidR="00000000" w:rsidRPr="00000000">
        <w:rPr>
          <w:rFonts w:ascii="Times New Roman" w:cs="Times New Roman" w:eastAsia="Times New Roman" w:hAnsi="Times New Roman"/>
          <w:b w:val="1"/>
          <w:sz w:val="24"/>
          <w:szCs w:val="24"/>
          <w:rtl w:val="0"/>
        </w:rPr>
        <w:t xml:space="preserve">Group 1 (Random Forest Regression)</w:t>
      </w:r>
      <w:r w:rsidDel="00000000" w:rsidR="00000000" w:rsidRPr="00000000">
        <w:rPr>
          <w:rFonts w:ascii="Times New Roman" w:cs="Times New Roman" w:eastAsia="Times New Roman" w:hAnsi="Times New Roman"/>
          <w:sz w:val="24"/>
          <w:szCs w:val="24"/>
          <w:rtl w:val="0"/>
        </w:rPr>
        <w:t xml:space="preserve"> was </w:t>
      </w:r>
      <w:r w:rsidDel="00000000" w:rsidR="00000000" w:rsidRPr="00000000">
        <w:rPr>
          <w:rFonts w:ascii="Times New Roman" w:cs="Times New Roman" w:eastAsia="Times New Roman" w:hAnsi="Times New Roman"/>
          <w:b w:val="1"/>
          <w:sz w:val="24"/>
          <w:szCs w:val="24"/>
          <w:rtl w:val="0"/>
        </w:rPr>
        <w:t xml:space="preserve">99.81%</w:t>
      </w:r>
      <w:r w:rsidDel="00000000" w:rsidR="00000000" w:rsidRPr="00000000">
        <w:rPr>
          <w:rFonts w:ascii="Times New Roman" w:cs="Times New Roman" w:eastAsia="Times New Roman" w:hAnsi="Times New Roman"/>
          <w:sz w:val="24"/>
          <w:szCs w:val="24"/>
          <w:rtl w:val="0"/>
        </w:rPr>
        <w:t xml:space="preserve">, whereas </w:t>
      </w:r>
      <w:r w:rsidDel="00000000" w:rsidR="00000000" w:rsidRPr="00000000">
        <w:rPr>
          <w:rFonts w:ascii="Times New Roman" w:cs="Times New Roman" w:eastAsia="Times New Roman" w:hAnsi="Times New Roman"/>
          <w:b w:val="1"/>
          <w:sz w:val="24"/>
          <w:szCs w:val="24"/>
          <w:rtl w:val="0"/>
        </w:rPr>
        <w:t xml:space="preserve">Group 2 (SVM)</w:t>
      </w:r>
      <w:r w:rsidDel="00000000" w:rsidR="00000000" w:rsidRPr="00000000">
        <w:rPr>
          <w:rFonts w:ascii="Times New Roman" w:cs="Times New Roman" w:eastAsia="Times New Roman" w:hAnsi="Times New Roman"/>
          <w:sz w:val="24"/>
          <w:szCs w:val="24"/>
          <w:rtl w:val="0"/>
        </w:rPr>
        <w:t xml:space="preserve"> achieved a significantly lower mean accuracy of </w:t>
      </w:r>
      <w:r w:rsidDel="00000000" w:rsidR="00000000" w:rsidRPr="00000000">
        <w:rPr>
          <w:rFonts w:ascii="Times New Roman" w:cs="Times New Roman" w:eastAsia="Times New Roman" w:hAnsi="Times New Roman"/>
          <w:b w:val="1"/>
          <w:sz w:val="24"/>
          <w:szCs w:val="24"/>
          <w:rtl w:val="0"/>
        </w:rPr>
        <w:t xml:space="preserve">45.31%</w:t>
      </w:r>
      <w:r w:rsidDel="00000000" w:rsidR="00000000" w:rsidRPr="00000000">
        <w:rPr>
          <w:rFonts w:ascii="Times New Roman" w:cs="Times New Roman" w:eastAsia="Times New Roman" w:hAnsi="Times New Roman"/>
          <w:sz w:val="24"/>
          <w:szCs w:val="24"/>
          <w:rtl w:val="0"/>
        </w:rPr>
        <w:t xml:space="preserve">. Furthermore, Random Forest demonstrated superior reliability with a reduced standard deviation, indicating more stable predictions across trials. These findings suggest that Random Forest not only provides substantially higher classification accuracy but also produces more consistent and dependable predictions for vitamin D deficiency classification compared to SVM.</w:t>
      </w:r>
      <w:hyperlink r:id="rId13">
        <w:r w:rsidDel="00000000" w:rsidR="00000000" w:rsidRPr="00000000">
          <w:rPr>
            <w:rFonts w:ascii="Times New Roman" w:cs="Times New Roman" w:eastAsia="Times New Roman" w:hAnsi="Times New Roman"/>
            <w:color w:val="000000"/>
            <w:sz w:val="24"/>
            <w:szCs w:val="24"/>
            <w:u w:val="none"/>
            <w:rtl w:val="0"/>
          </w:rPr>
          <w:t xml:space="preserve">(Barbosa-Cortés et al. 2025; Hewison et al. 2017)</w:t>
        </w:r>
      </w:hyperlink>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 comparison of the mean accuracies is shown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where the x-axis represents the classification algorithms and the y-axis shows the average accuracy percentages. The chart clearly illustrates the dominance of Random Forest over SVM in both accuracy and stability, supporting the study’s aim of using robust machine learning techniques to improve MAE reduction and decision boundary precision for healthcare applications.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Fonts w:ascii="Times New Roman" w:cs="Times New Roman" w:eastAsia="Times New Roman" w:hAnsi="Times New Roman"/>
          <w:b w:val="1"/>
          <w:sz w:val="24"/>
          <w:szCs w:val="24"/>
          <w:rtl w:val="0"/>
        </w:rPr>
        <w:t xml:space="preserve">DISCUSSION</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study was to evaluate the performance of Random Forest Regression (RF) and Support Vector Machine (SVM) in classifying vitamin D deficiency, focusing on reducing Mean Absolute Error (MAE) and improving decision boundary precision.</w:t>
      </w:r>
      <w:hyperlink r:id="rId14">
        <w:r w:rsidDel="00000000" w:rsidR="00000000" w:rsidRPr="00000000">
          <w:rPr>
            <w:rFonts w:ascii="Times New Roman" w:cs="Times New Roman" w:eastAsia="Times New Roman" w:hAnsi="Times New Roman"/>
            <w:b w:val="0"/>
            <w:color w:val="000000"/>
            <w:sz w:val="24"/>
            <w:szCs w:val="24"/>
            <w:u w:val="none"/>
            <w:rtl w:val="0"/>
          </w:rPr>
          <w:t xml:space="preserve">(Özdemir 2021)</w:t>
        </w:r>
      </w:hyperlink>
      <w:r w:rsidDel="00000000" w:rsidR="00000000" w:rsidRPr="00000000">
        <w:rPr>
          <w:rFonts w:ascii="Times New Roman" w:cs="Times New Roman" w:eastAsia="Times New Roman" w:hAnsi="Times New Roman"/>
          <w:sz w:val="24"/>
          <w:szCs w:val="24"/>
          <w:rtl w:val="0"/>
        </w:rPr>
        <w:t xml:space="preserve"> Both algorithms were applied to a dataset containing clinical and demographic factors such as age, BMI, dietary vitamin D intake, and sunlight exposure.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ensemble models like Random Forest have long been recognized for their robustness in handling complex, nonlinear relationships in healthcare data. In this study, Random Forest achieved a remarkably high accuracy of </w:t>
      </w:r>
      <w:r w:rsidDel="00000000" w:rsidR="00000000" w:rsidRPr="00000000">
        <w:rPr>
          <w:rFonts w:ascii="Times New Roman" w:cs="Times New Roman" w:eastAsia="Times New Roman" w:hAnsi="Times New Roman"/>
          <w:b w:val="1"/>
          <w:sz w:val="24"/>
          <w:szCs w:val="24"/>
          <w:rtl w:val="0"/>
        </w:rPr>
        <w:t xml:space="preserve">99.81%</w:t>
      </w:r>
      <w:r w:rsidDel="00000000" w:rsidR="00000000" w:rsidRPr="00000000">
        <w:rPr>
          <w:rFonts w:ascii="Times New Roman" w:cs="Times New Roman" w:eastAsia="Times New Roman" w:hAnsi="Times New Roman"/>
          <w:sz w:val="24"/>
          <w:szCs w:val="24"/>
          <w:rtl w:val="0"/>
        </w:rPr>
        <w:t xml:space="preserve">, far surpassing the </w:t>
      </w:r>
      <w:r w:rsidDel="00000000" w:rsidR="00000000" w:rsidRPr="00000000">
        <w:rPr>
          <w:rFonts w:ascii="Times New Roman" w:cs="Times New Roman" w:eastAsia="Times New Roman" w:hAnsi="Times New Roman"/>
          <w:b w:val="1"/>
          <w:sz w:val="24"/>
          <w:szCs w:val="24"/>
          <w:rtl w:val="0"/>
        </w:rPr>
        <w:t xml:space="preserve">45.31%</w:t>
      </w:r>
      <w:r w:rsidDel="00000000" w:rsidR="00000000" w:rsidRPr="00000000">
        <w:rPr>
          <w:rFonts w:ascii="Times New Roman" w:cs="Times New Roman" w:eastAsia="Times New Roman" w:hAnsi="Times New Roman"/>
          <w:sz w:val="24"/>
          <w:szCs w:val="24"/>
          <w:rtl w:val="0"/>
        </w:rPr>
        <w:t xml:space="preserve"> accuracy achieved by SVM. This significant performance gap can be attributed to several factors:</w:t>
      </w:r>
    </w:p>
    <w:p w:rsidR="00000000" w:rsidDel="00000000" w:rsidP="00000000" w:rsidRDefault="00000000" w:rsidRPr="00000000" w14:paraId="0000003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Decision Boundary Flexibility:</w:t>
      </w:r>
      <w:r w:rsidDel="00000000" w:rsidR="00000000" w:rsidRPr="00000000">
        <w:rPr>
          <w:rFonts w:ascii="Times New Roman" w:cs="Times New Roman" w:eastAsia="Times New Roman" w:hAnsi="Times New Roman"/>
          <w:sz w:val="24"/>
          <w:szCs w:val="24"/>
          <w:rtl w:val="0"/>
        </w:rPr>
        <w:t xml:space="preserve"> Random Forest, by aggregating multiple decision trees, effectively captured nonlinear patterns and interactions between health and lifestyle features, whereas SVM struggled to generalize well in this multi-dimensional feature space without extensive kernel tuning.</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Overfitting Control:</w:t>
      </w:r>
      <w:r w:rsidDel="00000000" w:rsidR="00000000" w:rsidRPr="00000000">
        <w:rPr>
          <w:rFonts w:ascii="Times New Roman" w:cs="Times New Roman" w:eastAsia="Times New Roman" w:hAnsi="Times New Roman"/>
          <w:sz w:val="24"/>
          <w:szCs w:val="24"/>
          <w:rtl w:val="0"/>
        </w:rPr>
        <w:t xml:space="preserve"> The inherent averaging process in Random Forest reduced overfitting, while SVM’s performance degraded when feature scaling and hyperparameter optimization were insufficient for this dataset’s complexity.</w:t>
        <w:br w:type="textWrapping"/>
      </w:r>
    </w:p>
    <w:p w:rsidR="00000000" w:rsidDel="00000000" w:rsidP="00000000" w:rsidRDefault="00000000" w:rsidRPr="00000000" w14:paraId="0000003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Importance Analysis:</w:t>
      </w:r>
      <w:r w:rsidDel="00000000" w:rsidR="00000000" w:rsidRPr="00000000">
        <w:rPr>
          <w:rFonts w:ascii="Times New Roman" w:cs="Times New Roman" w:eastAsia="Times New Roman" w:hAnsi="Times New Roman"/>
          <w:sz w:val="24"/>
          <w:szCs w:val="24"/>
          <w:rtl w:val="0"/>
        </w:rPr>
        <w:t xml:space="preserve"> Random Forest provided clear feature importance rankings, identifying sunlight exposure and dietary vitamin D intake as the most influential predictors. In contrast, SVM does not natively provide interpretable feature importance, limiting its utility in healthcare settings where interpretability is critical.</w:t>
        <w:br w:type="textWrapping"/>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SVM remains a powerful classification technique in certain domains—particularly with well-separated linear or kernel-transformed data—its lower accuracy in this context suggests that it may not be optimal for predicting vitamin D deficiency without significant preprocessing and parameter optimization. In contrast, Random Forest’s ability to combine precision, interpretability, and computational efficiency makes it well-suited for medical classification tasks where both predictive accuracy and decision boundary reliability are important.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reinforce the value of ensemble learning methods for clinical decision support, enabling the development of tools that can guide targeted interventions and personalized nutrition plans for at-risk individuals.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compared Random Forest Regression and Support Vector Machine for classifying vitamin D deficiency, with an emphasis on minimizing MAE and improving decision boundary precision. The results clearly demonstrate that Random Forest achieved superior performance, with an accuracy of </w:t>
      </w:r>
      <w:r w:rsidDel="00000000" w:rsidR="00000000" w:rsidRPr="00000000">
        <w:rPr>
          <w:rFonts w:ascii="Times New Roman" w:cs="Times New Roman" w:eastAsia="Times New Roman" w:hAnsi="Times New Roman"/>
          <w:b w:val="1"/>
          <w:sz w:val="24"/>
          <w:szCs w:val="24"/>
          <w:rtl w:val="0"/>
        </w:rPr>
        <w:t xml:space="preserve">99.81%</w:t>
      </w:r>
      <w:r w:rsidDel="00000000" w:rsidR="00000000" w:rsidRPr="00000000">
        <w:rPr>
          <w:rFonts w:ascii="Times New Roman" w:cs="Times New Roman" w:eastAsia="Times New Roman" w:hAnsi="Times New Roman"/>
          <w:sz w:val="24"/>
          <w:szCs w:val="24"/>
          <w:rtl w:val="0"/>
        </w:rPr>
        <w:t xml:space="preserve">, compared to SVM’s </w:t>
      </w:r>
      <w:r w:rsidDel="00000000" w:rsidR="00000000" w:rsidRPr="00000000">
        <w:rPr>
          <w:rFonts w:ascii="Times New Roman" w:cs="Times New Roman" w:eastAsia="Times New Roman" w:hAnsi="Times New Roman"/>
          <w:b w:val="1"/>
          <w:sz w:val="24"/>
          <w:szCs w:val="24"/>
          <w:rtl w:val="0"/>
        </w:rPr>
        <w:t xml:space="preserve">45.31%</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b w:val="0"/>
            <w:color w:val="000000"/>
            <w:sz w:val="24"/>
            <w:szCs w:val="24"/>
            <w:u w:val="none"/>
            <w:rtl w:val="0"/>
          </w:rPr>
          <w:t xml:space="preserve">(Fedotova 2020)</w:t>
        </w:r>
      </w:hyperlink>
      <w:r w:rsidDel="00000000" w:rsidR="00000000" w:rsidRPr="00000000">
        <w:rPr>
          <w:rFonts w:ascii="Times New Roman" w:cs="Times New Roman" w:eastAsia="Times New Roman" w:hAnsi="Times New Roman"/>
          <w:sz w:val="24"/>
          <w:szCs w:val="24"/>
          <w:rtl w:val="0"/>
        </w:rPr>
        <w:t xml:space="preserve">Random Forest also offered better interpretability through feature importance rankings, which highlighted sunlight exposure and dietary vitamin D intake as the primary factors influencing vitamin D levels.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SVM’s lower performance underscores its limitations in complex, nonlinear healthcare datasets without extensive tuning, Random Forest’s bagging-based approach proved more adaptable and accurate. The high accuracy and interpretability of Random Forest make it an effective choice for early identification of vitamin D deficiency, enabling healthcare practitioners to design proactive and individualized intervention strategies.</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54">
      <w:pPr>
        <w:widowControl w:val="0"/>
        <w:numPr>
          <w:ilvl w:val="0"/>
          <w:numId w:val="2"/>
        </w:numPr>
        <w:spacing w:before="240" w:line="240" w:lineRule="auto"/>
        <w:ind w:left="72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Barbosa-Cortés, Lourdes, Sharon B. Morales-Montes, Michelle Maldonado-Alvarado, Jorge A. Martin-Trejo, Salvador Atilano-Miguel, Emmanuel Jiménez-Aguayo, Fabián I. Martínez-Becerril, et al. 2025. “Impact of Omega-3 and Vitamin D Supplementation on Bone Turnover Markers in Children with Leukemia: Follow-Up During and After Supplementation.” </w:t>
        </w:r>
      </w:hyperlink>
      <w:hyperlink r:id="rId17">
        <w:r w:rsidDel="00000000" w:rsidR="00000000" w:rsidRPr="00000000">
          <w:rPr>
            <w:rFonts w:ascii="Times New Roman" w:cs="Times New Roman" w:eastAsia="Times New Roman" w:hAnsi="Times New Roman"/>
            <w:i w:val="1"/>
            <w:sz w:val="24"/>
            <w:szCs w:val="24"/>
            <w:rtl w:val="0"/>
          </w:rPr>
          <w:t xml:space="preserve">Nutrients</w:t>
        </w:r>
      </w:hyperlink>
      <w:hyperlink r:id="rId18">
        <w:r w:rsidDel="00000000" w:rsidR="00000000" w:rsidRPr="00000000">
          <w:rPr>
            <w:rFonts w:ascii="Times New Roman" w:cs="Times New Roman" w:eastAsia="Times New Roman" w:hAnsi="Times New Roman"/>
            <w:sz w:val="24"/>
            <w:szCs w:val="24"/>
            <w:rtl w:val="0"/>
          </w:rPr>
          <w:t xml:space="preserve"> 17 (15). https://doi.org/</w:t>
        </w:r>
      </w:hyperlink>
      <w:hyperlink r:id="rId19">
        <w:r w:rsidDel="00000000" w:rsidR="00000000" w:rsidRPr="00000000">
          <w:rPr>
            <w:rFonts w:ascii="Times New Roman" w:cs="Times New Roman" w:eastAsia="Times New Roman" w:hAnsi="Times New Roman"/>
            <w:sz w:val="24"/>
            <w:szCs w:val="24"/>
            <w:rtl w:val="0"/>
          </w:rPr>
          <w:t xml:space="preserve">10.3390/nu17152526</w:t>
        </w:r>
      </w:hyperlink>
      <w:hyperlink r:id="rId2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5">
      <w:pPr>
        <w:widowControl w:val="0"/>
        <w:numPr>
          <w:ilvl w:val="0"/>
          <w:numId w:val="2"/>
        </w:numPr>
        <w:spacing w:line="240" w:lineRule="auto"/>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Erdenetsetseg, Enkhgerel, Hye Ran Shin, Sun Yung Ly, and Sujin Song. 2025. “Ten-Year Trends in Dietary Vitamin D Intake and Its Food Sources among Koreans: Based on the 2013-2022 Korea National Health and Nutrition Examination Survey Data.” </w:t>
        </w:r>
      </w:hyperlink>
      <w:hyperlink r:id="rId22">
        <w:r w:rsidDel="00000000" w:rsidR="00000000" w:rsidRPr="00000000">
          <w:rPr>
            <w:rFonts w:ascii="Times New Roman" w:cs="Times New Roman" w:eastAsia="Times New Roman" w:hAnsi="Times New Roman"/>
            <w:i w:val="1"/>
            <w:sz w:val="24"/>
            <w:szCs w:val="24"/>
            <w:rtl w:val="0"/>
          </w:rPr>
          <w:t xml:space="preserve">Nutrition Research and Practice</w:t>
        </w:r>
      </w:hyperlink>
      <w:hyperlink r:id="rId23">
        <w:r w:rsidDel="00000000" w:rsidR="00000000" w:rsidRPr="00000000">
          <w:rPr>
            <w:rFonts w:ascii="Times New Roman" w:cs="Times New Roman" w:eastAsia="Times New Roman" w:hAnsi="Times New Roman"/>
            <w:sz w:val="24"/>
            <w:szCs w:val="24"/>
            <w:rtl w:val="0"/>
          </w:rPr>
          <w:t xml:space="preserve"> 19 (4): 577–90.</w:t>
        </w:r>
      </w:hyperlink>
      <w:r w:rsidDel="00000000" w:rsidR="00000000" w:rsidRPr="00000000">
        <w:rPr>
          <w:rtl w:val="0"/>
        </w:rPr>
      </w:r>
    </w:p>
    <w:p w:rsidR="00000000" w:rsidDel="00000000" w:rsidP="00000000" w:rsidRDefault="00000000" w:rsidRPr="00000000" w14:paraId="00000056">
      <w:pPr>
        <w:widowControl w:val="0"/>
        <w:numPr>
          <w:ilvl w:val="0"/>
          <w:numId w:val="2"/>
        </w:numPr>
        <w:spacing w:line="240" w:lineRule="auto"/>
        <w:ind w:left="720" w:hanging="360"/>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Fedotova, Julia. 2020. </w:t>
        </w:r>
      </w:hyperlink>
      <w:hyperlink r:id="rId25">
        <w:r w:rsidDel="00000000" w:rsidR="00000000" w:rsidRPr="00000000">
          <w:rPr>
            <w:rFonts w:ascii="Times New Roman" w:cs="Times New Roman" w:eastAsia="Times New Roman" w:hAnsi="Times New Roman"/>
            <w:i w:val="1"/>
            <w:sz w:val="24"/>
            <w:szCs w:val="24"/>
            <w:rtl w:val="0"/>
          </w:rPr>
          <w:t xml:space="preserve">Vitamin D Deficiency</w:t>
        </w:r>
      </w:hyperlink>
      <w:hyperlink r:id="rId26">
        <w:r w:rsidDel="00000000" w:rsidR="00000000" w:rsidRPr="00000000">
          <w:rPr>
            <w:rFonts w:ascii="Times New Roman" w:cs="Times New Roman" w:eastAsia="Times New Roman" w:hAnsi="Times New Roman"/>
            <w:sz w:val="24"/>
            <w:szCs w:val="24"/>
            <w:rtl w:val="0"/>
          </w:rPr>
          <w:t xml:space="preserve">. BoD – Books on Demand.</w:t>
        </w:r>
      </w:hyperlink>
      <w:r w:rsidDel="00000000" w:rsidR="00000000" w:rsidRPr="00000000">
        <w:rPr>
          <w:rtl w:val="0"/>
        </w:rPr>
      </w:r>
    </w:p>
    <w:p w:rsidR="00000000" w:rsidDel="00000000" w:rsidP="00000000" w:rsidRDefault="00000000" w:rsidRPr="00000000" w14:paraId="00000057">
      <w:pPr>
        <w:widowControl w:val="0"/>
        <w:numPr>
          <w:ilvl w:val="0"/>
          <w:numId w:val="2"/>
        </w:numPr>
        <w:spacing w:line="240" w:lineRule="auto"/>
        <w:ind w:left="720" w:hanging="36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Feng, Xiaoyue, Qin Yin, Ying Kang, Kang Jiang, Mengqing Xu, and Fangyu Wang. 2025. “The Role of Vitamin D Deficiency and Modifiable Risk Factors in Patients with Crohn’s Disease.” </w:t>
        </w:r>
      </w:hyperlink>
      <w:hyperlink r:id="rId28">
        <w:r w:rsidDel="00000000" w:rsidR="00000000" w:rsidRPr="00000000">
          <w:rPr>
            <w:rFonts w:ascii="Times New Roman" w:cs="Times New Roman" w:eastAsia="Times New Roman" w:hAnsi="Times New Roman"/>
            <w:i w:val="1"/>
            <w:sz w:val="24"/>
            <w:szCs w:val="24"/>
            <w:rtl w:val="0"/>
          </w:rPr>
          <w:t xml:space="preserve">Frontiers in Immunology</w:t>
        </w:r>
      </w:hyperlink>
      <w:hyperlink r:id="rId29">
        <w:r w:rsidDel="00000000" w:rsidR="00000000" w:rsidRPr="00000000">
          <w:rPr>
            <w:rFonts w:ascii="Times New Roman" w:cs="Times New Roman" w:eastAsia="Times New Roman" w:hAnsi="Times New Roman"/>
            <w:sz w:val="24"/>
            <w:szCs w:val="24"/>
            <w:rtl w:val="0"/>
          </w:rPr>
          <w:t xml:space="preserve"> 16 (July):1616924.</w:t>
        </w:r>
      </w:hyperlink>
      <w:r w:rsidDel="00000000" w:rsidR="00000000" w:rsidRPr="00000000">
        <w:rPr>
          <w:rtl w:val="0"/>
        </w:rPr>
      </w:r>
    </w:p>
    <w:p w:rsidR="00000000" w:rsidDel="00000000" w:rsidP="00000000" w:rsidRDefault="00000000" w:rsidRPr="00000000" w14:paraId="00000058">
      <w:pPr>
        <w:widowControl w:val="0"/>
        <w:numPr>
          <w:ilvl w:val="0"/>
          <w:numId w:val="2"/>
        </w:numPr>
        <w:spacing w:line="240" w:lineRule="auto"/>
        <w:ind w:left="720" w:hanging="360"/>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sz w:val="24"/>
            <w:szCs w:val="24"/>
            <w:rtl w:val="0"/>
          </w:rPr>
          <w:t xml:space="preserve">Hewison, Martin, Roger Bouillon, Edward Giovannucci, and David Goltzman. 2017. </w:t>
        </w:r>
      </w:hyperlink>
      <w:hyperlink r:id="rId31">
        <w:r w:rsidDel="00000000" w:rsidR="00000000" w:rsidRPr="00000000">
          <w:rPr>
            <w:rFonts w:ascii="Times New Roman" w:cs="Times New Roman" w:eastAsia="Times New Roman" w:hAnsi="Times New Roman"/>
            <w:i w:val="1"/>
            <w:sz w:val="24"/>
            <w:szCs w:val="24"/>
            <w:rtl w:val="0"/>
          </w:rPr>
          <w:t xml:space="preserve">Vitamin D: Volume 2: Health, Disease and Therapeutics</w:t>
        </w:r>
      </w:hyperlink>
      <w:hyperlink r:id="rId32">
        <w:r w:rsidDel="00000000" w:rsidR="00000000" w:rsidRPr="00000000">
          <w:rPr>
            <w:rFonts w:ascii="Times New Roman" w:cs="Times New Roman" w:eastAsia="Times New Roman" w:hAnsi="Times New Roman"/>
            <w:sz w:val="24"/>
            <w:szCs w:val="24"/>
            <w:rtl w:val="0"/>
          </w:rPr>
          <w:t xml:space="preserve">. Academic Press.</w:t>
        </w:r>
      </w:hyperlink>
      <w:r w:rsidDel="00000000" w:rsidR="00000000" w:rsidRPr="00000000">
        <w:rPr>
          <w:rtl w:val="0"/>
        </w:rPr>
      </w:r>
    </w:p>
    <w:p w:rsidR="00000000" w:rsidDel="00000000" w:rsidP="00000000" w:rsidRDefault="00000000" w:rsidRPr="00000000" w14:paraId="00000059">
      <w:pPr>
        <w:widowControl w:val="0"/>
        <w:numPr>
          <w:ilvl w:val="0"/>
          <w:numId w:val="2"/>
        </w:numPr>
        <w:spacing w:line="240" w:lineRule="auto"/>
        <w:ind w:left="720" w:hanging="360"/>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Jaramillo, Bibiana M., Jessica P. Acosta, Su A. Lee, Michael R. Murphy, and Hans H. Stein. 2025. “Microbial Phytase and 25-Hydroxy-Vitamin D3 Fed to Growing Pigs Increase Digestibility of Calcium and Phosphorus and Influence Plasma Vitamin D Metabolites and Serum Bone Biomarkers, but Effects Are Not Always Additive.” </w:t>
        </w:r>
      </w:hyperlink>
      <w:hyperlink r:id="rId34">
        <w:r w:rsidDel="00000000" w:rsidR="00000000" w:rsidRPr="00000000">
          <w:rPr>
            <w:rFonts w:ascii="Times New Roman" w:cs="Times New Roman" w:eastAsia="Times New Roman" w:hAnsi="Times New Roman"/>
            <w:i w:val="1"/>
            <w:sz w:val="24"/>
            <w:szCs w:val="24"/>
            <w:rtl w:val="0"/>
          </w:rPr>
          <w:t xml:space="preserve">Journal of Animal Science</w:t>
        </w:r>
      </w:hyperlink>
      <w:hyperlink r:id="rId35">
        <w:r w:rsidDel="00000000" w:rsidR="00000000" w:rsidRPr="00000000">
          <w:rPr>
            <w:rFonts w:ascii="Times New Roman" w:cs="Times New Roman" w:eastAsia="Times New Roman" w:hAnsi="Times New Roman"/>
            <w:sz w:val="24"/>
            <w:szCs w:val="24"/>
            <w:rtl w:val="0"/>
          </w:rPr>
          <w:t xml:space="preserve">, August. https://doi.org/</w:t>
        </w:r>
      </w:hyperlink>
      <w:hyperlink r:id="rId36">
        <w:r w:rsidDel="00000000" w:rsidR="00000000" w:rsidRPr="00000000">
          <w:rPr>
            <w:rFonts w:ascii="Times New Roman" w:cs="Times New Roman" w:eastAsia="Times New Roman" w:hAnsi="Times New Roman"/>
            <w:sz w:val="24"/>
            <w:szCs w:val="24"/>
            <w:rtl w:val="0"/>
          </w:rPr>
          <w:t xml:space="preserve">10.1093/jas/skaf273</w:t>
        </w:r>
      </w:hyperlink>
      <w:hyperlink r:id="rId3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A">
      <w:pPr>
        <w:widowControl w:val="0"/>
        <w:numPr>
          <w:ilvl w:val="0"/>
          <w:numId w:val="2"/>
        </w:numPr>
        <w:spacing w:line="240" w:lineRule="auto"/>
        <w:ind w:left="720" w:hanging="36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Liu, Yaoyuan, Zhifeng Zhong, Jiaxin Xie, Bing Ni, and Yu Wu. 2025. “Neuroprotective Roles of Vitamin D: Bridging the Gap Between Mechanisms and Clinical Applications in Cognitive Decline.” </w:t>
        </w:r>
      </w:hyperlink>
      <w:hyperlink r:id="rId39">
        <w:r w:rsidDel="00000000" w:rsidR="00000000" w:rsidRPr="00000000">
          <w:rPr>
            <w:rFonts w:ascii="Times New Roman" w:cs="Times New Roman" w:eastAsia="Times New Roman" w:hAnsi="Times New Roman"/>
            <w:i w:val="1"/>
            <w:sz w:val="24"/>
            <w:szCs w:val="24"/>
            <w:rtl w:val="0"/>
          </w:rPr>
          <w:t xml:space="preserve">International Journal of Molecular Sciences</w:t>
        </w:r>
      </w:hyperlink>
      <w:hyperlink r:id="rId40">
        <w:r w:rsidDel="00000000" w:rsidR="00000000" w:rsidRPr="00000000">
          <w:rPr>
            <w:rFonts w:ascii="Times New Roman" w:cs="Times New Roman" w:eastAsia="Times New Roman" w:hAnsi="Times New Roman"/>
            <w:sz w:val="24"/>
            <w:szCs w:val="24"/>
            <w:rtl w:val="0"/>
          </w:rPr>
          <w:t xml:space="preserve"> 26 (15). https://doi.org/</w:t>
        </w:r>
      </w:hyperlink>
      <w:hyperlink r:id="rId41">
        <w:r w:rsidDel="00000000" w:rsidR="00000000" w:rsidRPr="00000000">
          <w:rPr>
            <w:rFonts w:ascii="Times New Roman" w:cs="Times New Roman" w:eastAsia="Times New Roman" w:hAnsi="Times New Roman"/>
            <w:sz w:val="24"/>
            <w:szCs w:val="24"/>
            <w:rtl w:val="0"/>
          </w:rPr>
          <w:t xml:space="preserve">10.3390/ijms26157146</w:t>
        </w:r>
      </w:hyperlink>
      <w:hyperlink r:id="rId42">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B">
      <w:pPr>
        <w:widowControl w:val="0"/>
        <w:numPr>
          <w:ilvl w:val="0"/>
          <w:numId w:val="2"/>
        </w:numPr>
        <w:spacing w:line="240" w:lineRule="auto"/>
        <w:ind w:left="720" w:hanging="360"/>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sz w:val="24"/>
            <w:szCs w:val="24"/>
            <w:rtl w:val="0"/>
          </w:rPr>
          <w:t xml:space="preserve">Mikula, Pavol, Matthias Unseld, and Hans Jürgen Heppner. 2025. “Vitamin D Deficiency and Exocrine Pancreatic Insufficiency: An Analysis Carried Out in Orthogeriatric Patients (VIDEP.org).” </w:t>
        </w:r>
      </w:hyperlink>
      <w:hyperlink r:id="rId44">
        <w:r w:rsidDel="00000000" w:rsidR="00000000" w:rsidRPr="00000000">
          <w:rPr>
            <w:rFonts w:ascii="Times New Roman" w:cs="Times New Roman" w:eastAsia="Times New Roman" w:hAnsi="Times New Roman"/>
            <w:i w:val="1"/>
            <w:sz w:val="24"/>
            <w:szCs w:val="24"/>
            <w:rtl w:val="0"/>
          </w:rPr>
          <w:t xml:space="preserve">Journal of Clinical Medicine</w:t>
        </w:r>
      </w:hyperlink>
      <w:hyperlink r:id="rId45">
        <w:r w:rsidDel="00000000" w:rsidR="00000000" w:rsidRPr="00000000">
          <w:rPr>
            <w:rFonts w:ascii="Times New Roman" w:cs="Times New Roman" w:eastAsia="Times New Roman" w:hAnsi="Times New Roman"/>
            <w:sz w:val="24"/>
            <w:szCs w:val="24"/>
            <w:rtl w:val="0"/>
          </w:rPr>
          <w:t xml:space="preserve"> 14 (15). https://doi.org/</w:t>
        </w:r>
      </w:hyperlink>
      <w:hyperlink r:id="rId46">
        <w:r w:rsidDel="00000000" w:rsidR="00000000" w:rsidRPr="00000000">
          <w:rPr>
            <w:rFonts w:ascii="Times New Roman" w:cs="Times New Roman" w:eastAsia="Times New Roman" w:hAnsi="Times New Roman"/>
            <w:sz w:val="24"/>
            <w:szCs w:val="24"/>
            <w:rtl w:val="0"/>
          </w:rPr>
          <w:t xml:space="preserve">10.3390/jcm14155558</w:t>
        </w:r>
      </w:hyperlink>
      <w:hyperlink r:id="rId47">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C">
      <w:pPr>
        <w:widowControl w:val="0"/>
        <w:numPr>
          <w:ilvl w:val="0"/>
          <w:numId w:val="2"/>
        </w:numPr>
        <w:spacing w:line="240" w:lineRule="auto"/>
        <w:ind w:left="720" w:hanging="360"/>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Özdemir, Öner. 2021. </w:t>
        </w:r>
      </w:hyperlink>
      <w:hyperlink r:id="rId49">
        <w:r w:rsidDel="00000000" w:rsidR="00000000" w:rsidRPr="00000000">
          <w:rPr>
            <w:rFonts w:ascii="Times New Roman" w:cs="Times New Roman" w:eastAsia="Times New Roman" w:hAnsi="Times New Roman"/>
            <w:i w:val="1"/>
            <w:sz w:val="24"/>
            <w:szCs w:val="24"/>
            <w:rtl w:val="0"/>
          </w:rPr>
          <w:t xml:space="preserve">Vitamin D</w:t>
        </w:r>
      </w:hyperlink>
      <w:hyperlink r:id="rId50">
        <w:r w:rsidDel="00000000" w:rsidR="00000000" w:rsidRPr="00000000">
          <w:rPr>
            <w:rFonts w:ascii="Times New Roman" w:cs="Times New Roman" w:eastAsia="Times New Roman" w:hAnsi="Times New Roman"/>
            <w:sz w:val="24"/>
            <w:szCs w:val="24"/>
            <w:rtl w:val="0"/>
          </w:rPr>
          <w:t xml:space="preserve">. BoD – Books on Demand.</w:t>
        </w:r>
      </w:hyperlink>
      <w:r w:rsidDel="00000000" w:rsidR="00000000" w:rsidRPr="00000000">
        <w:rPr>
          <w:rtl w:val="0"/>
        </w:rPr>
      </w:r>
    </w:p>
    <w:p w:rsidR="00000000" w:rsidDel="00000000" w:rsidP="00000000" w:rsidRDefault="00000000" w:rsidRPr="00000000" w14:paraId="0000005D">
      <w:pPr>
        <w:widowControl w:val="0"/>
        <w:numPr>
          <w:ilvl w:val="0"/>
          <w:numId w:val="2"/>
        </w:numPr>
        <w:spacing w:after="240" w:line="240" w:lineRule="auto"/>
        <w:ind w:left="720" w:hanging="360"/>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Tran, Vu, Donald S. A. McLeod, Catherine M. Olsen, Nirmala Pandeya, Mary Waterhouse, David C. Whiteman, and Rachel E. Neale. 2025. “Factors Associated with Vitamin D Testing: A Population-Based Cohort Study in Queensland, Australia.” </w:t>
        </w:r>
      </w:hyperlink>
      <w:hyperlink r:id="rId52">
        <w:r w:rsidDel="00000000" w:rsidR="00000000" w:rsidRPr="00000000">
          <w:rPr>
            <w:rFonts w:ascii="Times New Roman" w:cs="Times New Roman" w:eastAsia="Times New Roman" w:hAnsi="Times New Roman"/>
            <w:i w:val="1"/>
            <w:sz w:val="24"/>
            <w:szCs w:val="24"/>
            <w:rtl w:val="0"/>
          </w:rPr>
          <w:t xml:space="preserve">Nutrients</w:t>
        </w:r>
      </w:hyperlink>
      <w:hyperlink r:id="rId53">
        <w:r w:rsidDel="00000000" w:rsidR="00000000" w:rsidRPr="00000000">
          <w:rPr>
            <w:rFonts w:ascii="Times New Roman" w:cs="Times New Roman" w:eastAsia="Times New Roman" w:hAnsi="Times New Roman"/>
            <w:sz w:val="24"/>
            <w:szCs w:val="24"/>
            <w:rtl w:val="0"/>
          </w:rPr>
          <w:t xml:space="preserve"> 17 (15). https://doi.org/</w:t>
        </w:r>
      </w:hyperlink>
      <w:hyperlink r:id="rId54">
        <w:r w:rsidDel="00000000" w:rsidR="00000000" w:rsidRPr="00000000">
          <w:rPr>
            <w:rFonts w:ascii="Times New Roman" w:cs="Times New Roman" w:eastAsia="Times New Roman" w:hAnsi="Times New Roman"/>
            <w:sz w:val="24"/>
            <w:szCs w:val="24"/>
            <w:rtl w:val="0"/>
          </w:rPr>
          <w:t xml:space="preserve">10.3390/nu17152549</w:t>
        </w:r>
      </w:hyperlink>
      <w:hyperlink r:id="rId5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j6tc64pdhpcs" w:id="3"/>
      <w:bookmarkEnd w:id="3"/>
      <w:r w:rsidDel="00000000" w:rsidR="00000000" w:rsidRPr="00000000">
        <w:rPr>
          <w:rFonts w:ascii="Times New Roman" w:cs="Times New Roman" w:eastAsia="Times New Roman" w:hAnsi="Times New Roman"/>
          <w:b w:val="1"/>
          <w:sz w:val="24"/>
          <w:szCs w:val="24"/>
          <w:rtl w:val="0"/>
        </w:rPr>
        <w:t xml:space="preserve">TABLES AND CONTENTS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Statistical analysis was conducted on two algorithms across 10 iterations. The results indicate that RF consistently outperforms SVM in terms of mean accuracy. Both the SD and SD Err of the Mean were evaluated, further highlighting the difference in performance between the two algorithms. </w:t>
      </w: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20"/>
        <w:gridCol w:w="1215"/>
        <w:gridCol w:w="1515"/>
        <w:gridCol w:w="1755"/>
        <w:gridCol w:w="1860"/>
        <w:tblGridChange w:id="0">
          <w:tblGrid>
            <w:gridCol w:w="1695"/>
            <w:gridCol w:w="1320"/>
            <w:gridCol w:w="1215"/>
            <w:gridCol w:w="1515"/>
            <w:gridCol w:w="1755"/>
            <w:gridCol w:w="18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GROUPS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Std.Deviation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SD. Err Mean</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sz w:val="24"/>
                <w:szCs w:val="24"/>
              </w:rPr>
            </w:pPr>
            <w:r w:rsidDel="00000000" w:rsidR="00000000" w:rsidRPr="00000000">
              <w:rPr>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sz w:val="24"/>
                <w:szCs w:val="24"/>
              </w:rPr>
            </w:pPr>
            <w:r w:rsidDel="00000000" w:rsidR="00000000" w:rsidRPr="00000000">
              <w:rPr>
                <w:sz w:val="24"/>
                <w:szCs w:val="24"/>
                <w:rtl w:val="0"/>
              </w:rPr>
              <w:t xml:space="preserve">RF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sz w:val="24"/>
                <w:szCs w:val="24"/>
              </w:rPr>
            </w:pPr>
            <w:r w:rsidDel="00000000" w:rsidR="00000000" w:rsidRPr="00000000">
              <w:rPr>
                <w:sz w:val="24"/>
                <w:szCs w:val="24"/>
                <w:rtl w:val="0"/>
              </w:rPr>
              <w:t xml:space="preserve">99.8100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sz w:val="24"/>
                <w:szCs w:val="24"/>
              </w:rPr>
            </w:pPr>
            <w:r w:rsidDel="00000000" w:rsidR="00000000" w:rsidRPr="00000000">
              <w:rPr>
                <w:sz w:val="24"/>
                <w:szCs w:val="24"/>
                <w:rtl w:val="0"/>
              </w:rPr>
              <w:t xml:space="preserve">0.01581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sz w:val="24"/>
                <w:szCs w:val="24"/>
              </w:rPr>
            </w:pPr>
            <w:r w:rsidDel="00000000" w:rsidR="00000000" w:rsidRPr="00000000">
              <w:rPr>
                <w:sz w:val="24"/>
                <w:szCs w:val="24"/>
                <w:rtl w:val="0"/>
              </w:rPr>
              <w:t xml:space="preserve">0.00707</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sz w:val="24"/>
                <w:szCs w:val="24"/>
              </w:rPr>
            </w:pPr>
            <w:r w:rsidDel="00000000" w:rsidR="00000000" w:rsidRPr="00000000">
              <w:rPr>
                <w:sz w:val="24"/>
                <w:szCs w:val="24"/>
                <w:rtl w:val="0"/>
              </w:rPr>
              <w:t xml:space="preserve">SVM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sz w:val="24"/>
                <w:szCs w:val="24"/>
              </w:rPr>
            </w:pPr>
            <w:r w:rsidDel="00000000" w:rsidR="00000000" w:rsidRPr="00000000">
              <w:rPr>
                <w:sz w:val="24"/>
                <w:szCs w:val="24"/>
                <w:rtl w:val="0"/>
              </w:rPr>
              <w:t xml:space="preserve">45.3180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sz w:val="24"/>
                <w:szCs w:val="24"/>
              </w:rPr>
            </w:pPr>
            <w:r w:rsidDel="00000000" w:rsidR="00000000" w:rsidRPr="00000000">
              <w:rPr>
                <w:sz w:val="24"/>
                <w:szCs w:val="24"/>
                <w:rtl w:val="0"/>
              </w:rPr>
              <w:t xml:space="preserve">0.15205</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sz w:val="24"/>
                <w:szCs w:val="24"/>
              </w:rPr>
            </w:pPr>
            <w:r w:rsidDel="00000000" w:rsidR="00000000" w:rsidRPr="00000000">
              <w:rPr>
                <w:sz w:val="24"/>
                <w:szCs w:val="24"/>
                <w:rtl w:val="0"/>
              </w:rPr>
              <w:t xml:space="preserve">0.06800</w:t>
            </w:r>
          </w:p>
        </w:tc>
      </w:tr>
    </w:tbl>
    <w:p w:rsidR="00000000" w:rsidDel="00000000" w:rsidP="00000000" w:rsidRDefault="00000000" w:rsidRPr="00000000" w14:paraId="0000007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Comparing the accurateness and specificity of detection achieved by RF and SVM. A notable statistical disparity was evident between the two algorithms (p &lt; 0.05). Descriptive analytics were applied to the dataset with a sureness interval set at 95%, and a significance level established at 0.05. </w:t>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15"/>
        <w:gridCol w:w="615"/>
        <w:gridCol w:w="615"/>
        <w:gridCol w:w="615"/>
        <w:gridCol w:w="600"/>
        <w:gridCol w:w="1500"/>
        <w:gridCol w:w="810"/>
        <w:gridCol w:w="810"/>
        <w:gridCol w:w="945"/>
        <w:gridCol w:w="1050"/>
        <w:tblGridChange w:id="0">
          <w:tblGrid>
            <w:gridCol w:w="915"/>
            <w:gridCol w:w="915"/>
            <w:gridCol w:w="615"/>
            <w:gridCol w:w="615"/>
            <w:gridCol w:w="615"/>
            <w:gridCol w:w="600"/>
            <w:gridCol w:w="1500"/>
            <w:gridCol w:w="810"/>
            <w:gridCol w:w="810"/>
            <w:gridCol w:w="945"/>
            <w:gridCol w:w="1050"/>
          </w:tblGrid>
        </w:tblGridChange>
      </w:tblGrid>
      <w:tr>
        <w:trPr>
          <w:cantSplit w:val="0"/>
          <w:trHeight w:val="1320" w:hRule="atLeast"/>
          <w:tblHeader w:val="0"/>
        </w:trPr>
        <w:tc>
          <w:tcPr>
            <w:gridSpan w:val="2"/>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5"/>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of Means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95% Confidence Interval of the Diff</w:t>
            </w:r>
          </w:p>
        </w:tc>
      </w:tr>
      <w:tr>
        <w:trPr>
          <w:cantSplit w:val="0"/>
          <w:trHeight w:val="495"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b w:val="1"/>
                <w:sz w:val="24"/>
                <w:szCs w:val="24"/>
              </w:rPr>
            </w:pPr>
            <w:r w:rsidDel="00000000" w:rsidR="00000000" w:rsidRPr="00000000">
              <w:rPr>
                <w:rtl w:val="0"/>
              </w:rPr>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Sig(2-tailed)</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980"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One-Sided p</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b w:val="1"/>
                <w:sz w:val="24"/>
                <w:szCs w:val="24"/>
              </w:rPr>
            </w:pPr>
            <w:r w:rsidDel="00000000" w:rsidR="00000000" w:rsidRPr="00000000">
              <w:rPr>
                <w:rtl w:val="0"/>
              </w:rPr>
            </w:r>
          </w:p>
        </w:tc>
      </w:tr>
      <w:tr>
        <w:trPr>
          <w:cantSplit w:val="0"/>
          <w:trHeight w:val="2021.86523437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7.45628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10.34372</w:t>
            </w:r>
          </w:p>
        </w:tc>
      </w:tr>
      <w:tr>
        <w:trPr>
          <w:cantSplit w:val="0"/>
          <w:trHeight w:val="21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17.971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10.34389</w:t>
            </w:r>
          </w:p>
        </w:tc>
      </w:tr>
    </w:tbl>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Enhancing Vitamin D Deficiency Prediction (Random Forest accuracy of 99.81% and SVM accuracy of 45.31%)</w:t>
      </w:r>
    </w:p>
    <w:tbl>
      <w:tblPr>
        <w:tblStyle w:val="Table3"/>
        <w:tblW w:w="886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775"/>
        <w:gridCol w:w="3000"/>
        <w:tblGridChange w:id="0">
          <w:tblGrid>
            <w:gridCol w:w="3090"/>
            <w:gridCol w:w="2775"/>
            <w:gridCol w:w="3000"/>
          </w:tblGrid>
        </w:tblGridChange>
      </w:tblGrid>
      <w:tr>
        <w:trPr>
          <w:cantSplit w:val="0"/>
          <w:trHeight w:val="1387.11914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left="15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Iteration Number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RF</w:t>
            </w:r>
          </w:p>
          <w:p w:rsidR="00000000" w:rsidDel="00000000" w:rsidP="00000000" w:rsidRDefault="00000000" w:rsidRPr="00000000" w14:paraId="000000C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SVM</w:t>
            </w:r>
          </w:p>
          <w:p w:rsidR="00000000" w:rsidDel="00000000" w:rsidP="00000000" w:rsidRDefault="00000000" w:rsidRPr="00000000" w14:paraId="000000C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r>
      <w:tr>
        <w:trPr>
          <w:cantSplit w:val="0"/>
          <w:trHeight w:val="707.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1540" w:firstLine="0"/>
              <w:jc w:val="center"/>
              <w:rPr>
                <w:sz w:val="24"/>
                <w:szCs w:val="24"/>
              </w:rPr>
            </w:pPr>
            <w:r w:rsidDel="00000000" w:rsidR="00000000" w:rsidRPr="00000000">
              <w:rPr>
                <w:sz w:val="24"/>
                <w:szCs w:val="24"/>
                <w:rtl w:val="0"/>
              </w:rPr>
              <w:t xml:space="preserve">99.4745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45.2282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1540" w:firstLine="0"/>
              <w:jc w:val="center"/>
              <w:rPr>
                <w:sz w:val="24"/>
                <w:szCs w:val="24"/>
              </w:rPr>
            </w:pPr>
            <w:r w:rsidDel="00000000" w:rsidR="00000000" w:rsidRPr="00000000">
              <w:rPr>
                <w:sz w:val="24"/>
                <w:szCs w:val="24"/>
                <w:rtl w:val="0"/>
              </w:rPr>
              <w:t xml:space="preserve">99.0507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45.2831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1540" w:firstLine="0"/>
              <w:jc w:val="center"/>
              <w:rPr>
                <w:sz w:val="24"/>
                <w:szCs w:val="24"/>
              </w:rPr>
            </w:pPr>
            <w:r w:rsidDel="00000000" w:rsidR="00000000" w:rsidRPr="00000000">
              <w:rPr>
                <w:sz w:val="24"/>
                <w:szCs w:val="24"/>
                <w:rtl w:val="0"/>
              </w:rPr>
              <w:t xml:space="preserve">99.8320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45.3851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1540" w:firstLine="0"/>
              <w:jc w:val="center"/>
              <w:rPr>
                <w:sz w:val="24"/>
                <w:szCs w:val="24"/>
              </w:rPr>
            </w:pPr>
            <w:r w:rsidDel="00000000" w:rsidR="00000000" w:rsidRPr="00000000">
              <w:rPr>
                <w:sz w:val="24"/>
                <w:szCs w:val="24"/>
                <w:rtl w:val="0"/>
              </w:rPr>
              <w:t xml:space="preserve">99.6987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45.4199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1540" w:firstLine="0"/>
              <w:jc w:val="center"/>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45.3894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1540" w:firstLine="0"/>
              <w:jc w:val="center"/>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44.3910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1540" w:firstLine="0"/>
              <w:jc w:val="center"/>
              <w:rPr>
                <w:sz w:val="24"/>
                <w:szCs w:val="24"/>
              </w:rPr>
            </w:pPr>
            <w:r w:rsidDel="00000000" w:rsidR="00000000" w:rsidRPr="00000000">
              <w:rPr>
                <w:sz w:val="24"/>
                <w:szCs w:val="24"/>
                <w:rtl w:val="0"/>
              </w:rPr>
              <w:t xml:space="preserve">99.1581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45.5118</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ind w:left="1540" w:firstLine="0"/>
              <w:jc w:val="center"/>
              <w:rPr>
                <w:sz w:val="24"/>
                <w:szCs w:val="24"/>
              </w:rPr>
            </w:pPr>
            <w:r w:rsidDel="00000000" w:rsidR="00000000" w:rsidRPr="00000000">
              <w:rPr>
                <w:sz w:val="24"/>
                <w:szCs w:val="24"/>
                <w:rtl w:val="0"/>
              </w:rPr>
              <w:t xml:space="preserve">99.9662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45.7324</w:t>
            </w:r>
          </w:p>
        </w:tc>
      </w:tr>
      <w:tr>
        <w:trPr>
          <w:cantSplit w:val="0"/>
          <w:trHeight w:val="662.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1540" w:firstLine="0"/>
              <w:jc w:val="center"/>
              <w:rPr>
                <w:sz w:val="24"/>
                <w:szCs w:val="24"/>
              </w:rPr>
            </w:pPr>
            <w:r w:rsidDel="00000000" w:rsidR="00000000" w:rsidRPr="00000000">
              <w:rPr>
                <w:sz w:val="24"/>
                <w:szCs w:val="24"/>
                <w:rtl w:val="0"/>
              </w:rPr>
              <w:t xml:space="preserve">99.7011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44.6395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1540" w:firstLine="0"/>
              <w:jc w:val="center"/>
              <w:rPr>
                <w:sz w:val="24"/>
                <w:szCs w:val="24"/>
              </w:rPr>
            </w:pPr>
            <w:r w:rsidDel="00000000" w:rsidR="00000000" w:rsidRPr="00000000">
              <w:rPr>
                <w:sz w:val="24"/>
                <w:szCs w:val="24"/>
                <w:rtl w:val="0"/>
              </w:rPr>
              <w:t xml:space="preserve">99.8081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45.4988</w:t>
            </w:r>
          </w:p>
        </w:tc>
      </w:tr>
    </w:tbl>
    <w:p w:rsidR="00000000" w:rsidDel="00000000" w:rsidP="00000000" w:rsidRDefault="00000000" w:rsidRPr="00000000" w14:paraId="000000E2">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3">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4">
      <w:pPr>
        <w:spacing w:after="240" w:before="240" w:lineRule="auto"/>
        <w:jc w:val="both"/>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6">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The bar chart visually contrasts the mean accuracies of the RF algorithm and the SVM algorithm. standard deviation for RF is marginally better, suggesting a more consistent performance. On the chart, the x-axis distinguishes between RF and SVM, while the y-axis measures the average accuracy of detection, encompassing a range (±2) SD.</w:t>
      </w:r>
    </w:p>
    <w:p w:rsidR="00000000" w:rsidDel="00000000" w:rsidP="00000000" w:rsidRDefault="00000000" w:rsidRPr="00000000" w14:paraId="000000E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sf3sYF/DnXk" TargetMode="External"/><Relationship Id="rId42" Type="http://schemas.openxmlformats.org/officeDocument/2006/relationships/hyperlink" Target="http://paperpile.com/b/sf3sYF/DnXk" TargetMode="External"/><Relationship Id="rId41" Type="http://schemas.openxmlformats.org/officeDocument/2006/relationships/hyperlink" Target="http://dx.doi.org/10.3390/ijms26157146" TargetMode="External"/><Relationship Id="rId44" Type="http://schemas.openxmlformats.org/officeDocument/2006/relationships/hyperlink" Target="http://paperpile.com/b/sf3sYF/wjOF" TargetMode="External"/><Relationship Id="rId43" Type="http://schemas.openxmlformats.org/officeDocument/2006/relationships/hyperlink" Target="http://paperpile.com/b/sf3sYF/wjOF" TargetMode="External"/><Relationship Id="rId46" Type="http://schemas.openxmlformats.org/officeDocument/2006/relationships/hyperlink" Target="http://dx.doi.org/10.3390/jcm14155558" TargetMode="External"/><Relationship Id="rId45" Type="http://schemas.openxmlformats.org/officeDocument/2006/relationships/hyperlink" Target="http://paperpile.com/b/sf3sYF/wjO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sf3sYF/fVKN+wjOF" TargetMode="External"/><Relationship Id="rId48" Type="http://schemas.openxmlformats.org/officeDocument/2006/relationships/hyperlink" Target="http://paperpile.com/b/sf3sYF/wftY" TargetMode="External"/><Relationship Id="rId47" Type="http://schemas.openxmlformats.org/officeDocument/2006/relationships/hyperlink" Target="http://paperpile.com/b/sf3sYF/wjOF" TargetMode="External"/><Relationship Id="rId49" Type="http://schemas.openxmlformats.org/officeDocument/2006/relationships/hyperlink" Target="http://paperpile.com/b/sf3sYF/wftY" TargetMode="External"/><Relationship Id="rId5" Type="http://schemas.openxmlformats.org/officeDocument/2006/relationships/styles" Target="styles.xml"/><Relationship Id="rId6" Type="http://schemas.openxmlformats.org/officeDocument/2006/relationships/hyperlink" Target="https://paperpile.com/c/sf3sYF/bQaG" TargetMode="External"/><Relationship Id="rId7" Type="http://schemas.openxmlformats.org/officeDocument/2006/relationships/hyperlink" Target="https://paperpile.com/c/sf3sYF/bQaG+1P5y" TargetMode="External"/><Relationship Id="rId8" Type="http://schemas.openxmlformats.org/officeDocument/2006/relationships/hyperlink" Target="https://paperpile.com/c/sf3sYF/fVKN" TargetMode="External"/><Relationship Id="rId31" Type="http://schemas.openxmlformats.org/officeDocument/2006/relationships/hyperlink" Target="http://paperpile.com/b/sf3sYF/pnNv" TargetMode="External"/><Relationship Id="rId30" Type="http://schemas.openxmlformats.org/officeDocument/2006/relationships/hyperlink" Target="http://paperpile.com/b/sf3sYF/pnNv" TargetMode="External"/><Relationship Id="rId33" Type="http://schemas.openxmlformats.org/officeDocument/2006/relationships/hyperlink" Target="http://paperpile.com/b/sf3sYF/fVKN" TargetMode="External"/><Relationship Id="rId32" Type="http://schemas.openxmlformats.org/officeDocument/2006/relationships/hyperlink" Target="http://paperpile.com/b/sf3sYF/pnNv" TargetMode="External"/><Relationship Id="rId35" Type="http://schemas.openxmlformats.org/officeDocument/2006/relationships/hyperlink" Target="http://paperpile.com/b/sf3sYF/fVKN" TargetMode="External"/><Relationship Id="rId34" Type="http://schemas.openxmlformats.org/officeDocument/2006/relationships/hyperlink" Target="http://paperpile.com/b/sf3sYF/fVKN" TargetMode="External"/><Relationship Id="rId37" Type="http://schemas.openxmlformats.org/officeDocument/2006/relationships/hyperlink" Target="http://paperpile.com/b/sf3sYF/fVKN" TargetMode="External"/><Relationship Id="rId36" Type="http://schemas.openxmlformats.org/officeDocument/2006/relationships/hyperlink" Target="http://dx.doi.org/10.1093/jas/skaf273" TargetMode="External"/><Relationship Id="rId39" Type="http://schemas.openxmlformats.org/officeDocument/2006/relationships/hyperlink" Target="http://paperpile.com/b/sf3sYF/DnXk" TargetMode="External"/><Relationship Id="rId38" Type="http://schemas.openxmlformats.org/officeDocument/2006/relationships/hyperlink" Target="http://paperpile.com/b/sf3sYF/DnXk" TargetMode="External"/><Relationship Id="rId20" Type="http://schemas.openxmlformats.org/officeDocument/2006/relationships/hyperlink" Target="http://paperpile.com/b/sf3sYF/sIb8" TargetMode="External"/><Relationship Id="rId22" Type="http://schemas.openxmlformats.org/officeDocument/2006/relationships/hyperlink" Target="http://paperpile.com/b/sf3sYF/bQaG" TargetMode="External"/><Relationship Id="rId21" Type="http://schemas.openxmlformats.org/officeDocument/2006/relationships/hyperlink" Target="http://paperpile.com/b/sf3sYF/bQaG" TargetMode="External"/><Relationship Id="rId24" Type="http://schemas.openxmlformats.org/officeDocument/2006/relationships/hyperlink" Target="http://paperpile.com/b/sf3sYF/2HuH" TargetMode="External"/><Relationship Id="rId23" Type="http://schemas.openxmlformats.org/officeDocument/2006/relationships/hyperlink" Target="http://paperpile.com/b/sf3sYF/bQaG" TargetMode="External"/><Relationship Id="rId26" Type="http://schemas.openxmlformats.org/officeDocument/2006/relationships/hyperlink" Target="http://paperpile.com/b/sf3sYF/2HuH" TargetMode="External"/><Relationship Id="rId25" Type="http://schemas.openxmlformats.org/officeDocument/2006/relationships/hyperlink" Target="http://paperpile.com/b/sf3sYF/2HuH" TargetMode="External"/><Relationship Id="rId28" Type="http://schemas.openxmlformats.org/officeDocument/2006/relationships/hyperlink" Target="http://paperpile.com/b/sf3sYF/1P5y" TargetMode="External"/><Relationship Id="rId27" Type="http://schemas.openxmlformats.org/officeDocument/2006/relationships/hyperlink" Target="http://paperpile.com/b/sf3sYF/1P5y" TargetMode="External"/><Relationship Id="rId29" Type="http://schemas.openxmlformats.org/officeDocument/2006/relationships/hyperlink" Target="http://paperpile.com/b/sf3sYF/1P5y" TargetMode="External"/><Relationship Id="rId51" Type="http://schemas.openxmlformats.org/officeDocument/2006/relationships/hyperlink" Target="http://paperpile.com/b/sf3sYF/rEIs" TargetMode="External"/><Relationship Id="rId50" Type="http://schemas.openxmlformats.org/officeDocument/2006/relationships/hyperlink" Target="http://paperpile.com/b/sf3sYF/wftY" TargetMode="External"/><Relationship Id="rId53" Type="http://schemas.openxmlformats.org/officeDocument/2006/relationships/hyperlink" Target="http://paperpile.com/b/sf3sYF/rEIs" TargetMode="External"/><Relationship Id="rId52" Type="http://schemas.openxmlformats.org/officeDocument/2006/relationships/hyperlink" Target="http://paperpile.com/b/sf3sYF/rEIs" TargetMode="External"/><Relationship Id="rId11" Type="http://schemas.openxmlformats.org/officeDocument/2006/relationships/hyperlink" Target="https://paperpile.com/c/sf3sYF/rEIs" TargetMode="External"/><Relationship Id="rId55" Type="http://schemas.openxmlformats.org/officeDocument/2006/relationships/hyperlink" Target="http://paperpile.com/b/sf3sYF/rEIs" TargetMode="External"/><Relationship Id="rId10" Type="http://schemas.openxmlformats.org/officeDocument/2006/relationships/hyperlink" Target="https://paperpile.com/c/sf3sYF/fVKN+wjOF+DnXk" TargetMode="External"/><Relationship Id="rId54" Type="http://schemas.openxmlformats.org/officeDocument/2006/relationships/hyperlink" Target="http://dx.doi.org/10.3390/nu17152549" TargetMode="External"/><Relationship Id="rId13" Type="http://schemas.openxmlformats.org/officeDocument/2006/relationships/hyperlink" Target="https://paperpile.com/c/sf3sYF/sIb8+pnNv" TargetMode="External"/><Relationship Id="rId12" Type="http://schemas.openxmlformats.org/officeDocument/2006/relationships/hyperlink" Target="https://paperpile.com/c/sf3sYF/sIb8" TargetMode="External"/><Relationship Id="rId56" Type="http://schemas.openxmlformats.org/officeDocument/2006/relationships/image" Target="media/image1.png"/><Relationship Id="rId15" Type="http://schemas.openxmlformats.org/officeDocument/2006/relationships/hyperlink" Target="https://paperpile.com/c/sf3sYF/2HuH" TargetMode="External"/><Relationship Id="rId14" Type="http://schemas.openxmlformats.org/officeDocument/2006/relationships/hyperlink" Target="https://paperpile.com/c/sf3sYF/wftY" TargetMode="External"/><Relationship Id="rId17" Type="http://schemas.openxmlformats.org/officeDocument/2006/relationships/hyperlink" Target="http://paperpile.com/b/sf3sYF/sIb8" TargetMode="External"/><Relationship Id="rId16" Type="http://schemas.openxmlformats.org/officeDocument/2006/relationships/hyperlink" Target="http://paperpile.com/b/sf3sYF/sIb8" TargetMode="External"/><Relationship Id="rId19" Type="http://schemas.openxmlformats.org/officeDocument/2006/relationships/hyperlink" Target="http://dx.doi.org/10.3390/nu17152526" TargetMode="External"/><Relationship Id="rId18" Type="http://schemas.openxmlformats.org/officeDocument/2006/relationships/hyperlink" Target="http://paperpile.com/b/sf3sYF/sI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