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Reducing Log Loss in Vitamin D Deficiency Prediction: A Performance Comparison of Random Forest Regression and Artificial Neural Networks</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 Thejesh Reddy¹ , Dr. Uma Priyadarsini P S²</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Thejesh Reddy¹</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thejeshreddyk1102.sse@saveetha.com</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Uma Priyadarsini P S²</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Guide,Corresponding Author,</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Deep Learning,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11">
      <w:pPr>
        <w:spacing w:after="240" w:before="240"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umapriyadarsini@saveetha.com</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ANN, Feature Importance, RMSE, Predictive Modeling.</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br w:type="textWrapping"/>
      </w:r>
      <w:r w:rsidDel="00000000" w:rsidR="00000000" w:rsidRPr="00000000">
        <w:rPr>
          <w:rFonts w:ascii="Times New Roman" w:cs="Times New Roman" w:eastAsia="Times New Roman" w:hAnsi="Times New Roman"/>
          <w:sz w:val="24"/>
          <w:szCs w:val="24"/>
          <w:rtl w:val="0"/>
        </w:rPr>
        <w:t xml:space="preserve"> The aim of this study is to investigate and compare the effectiveness of Vitamin D deficiency prediction using Random Forest Regression (RFR) and Artificial Neural Networks (ANN) in reducing Log Loss and improving decision-making accuracy.</w:t>
      </w:r>
      <w:hyperlink r:id="rId6">
        <w:r w:rsidDel="00000000" w:rsidR="00000000" w:rsidRPr="00000000">
          <w:rPr>
            <w:rFonts w:ascii="Times New Roman" w:cs="Times New Roman" w:eastAsia="Times New Roman" w:hAnsi="Times New Roman"/>
            <w:b w:val="0"/>
            <w:color w:val="000000"/>
            <w:sz w:val="24"/>
            <w:szCs w:val="24"/>
            <w:u w:val="none"/>
            <w:rtl w:val="0"/>
          </w:rPr>
          <w:t xml:space="preserve">(Erdenetsetseg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This study evaluates and compares the performance of RFR and ANN for predicting Vitamin D deficiency using a comprehensive dataset containing various clinical and demographic factors. The dataset includes features such as age, BMI, sunlight exposure, dietary vitamin D intake, and other relevant health indicators. Feature engineering techniques were applied to enhance predictive performance. A sample size of 80 for each group was determined using G*Power (0.80) for 10 iterations per group. Both models were implemented and evaluated using Python’s Scikit-learn and TensorFlow libraries, with Log Loss as the primary performance metric. </w:t>
      </w:r>
      <w:hyperlink r:id="rId7">
        <w:r w:rsidDel="00000000" w:rsidR="00000000" w:rsidRPr="00000000">
          <w:rPr>
            <w:rFonts w:ascii="Times New Roman" w:cs="Times New Roman" w:eastAsia="Times New Roman" w:hAnsi="Times New Roman"/>
            <w:b w:val="0"/>
            <w:color w:val="000000"/>
            <w:sz w:val="24"/>
            <w:szCs w:val="24"/>
            <w:u w:val="none"/>
            <w:rtl w:val="0"/>
          </w:rPr>
          <w:t xml:space="preserve">(Feng et al. 2025)</w:t>
        </w:r>
      </w:hyperlink>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Based on the obtained results, Random Forest Regression achieved the highest predictive accuracy at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with a lower Log Loss compared to Artificial Neural Networks, which achieved </w:t>
      </w:r>
      <w:r w:rsidDel="00000000" w:rsidR="00000000" w:rsidRPr="00000000">
        <w:rPr>
          <w:rFonts w:ascii="Times New Roman" w:cs="Times New Roman" w:eastAsia="Times New Roman" w:hAnsi="Times New Roman"/>
          <w:b w:val="1"/>
          <w:sz w:val="24"/>
          <w:szCs w:val="24"/>
          <w:rtl w:val="0"/>
        </w:rPr>
        <w:t xml:space="preserve">91.41%</w:t>
      </w:r>
      <w:r w:rsidDel="00000000" w:rsidR="00000000" w:rsidRPr="00000000">
        <w:rPr>
          <w:rFonts w:ascii="Times New Roman" w:cs="Times New Roman" w:eastAsia="Times New Roman" w:hAnsi="Times New Roman"/>
          <w:sz w:val="24"/>
          <w:szCs w:val="24"/>
          <w:rtl w:val="0"/>
        </w:rPr>
        <w:t xml:space="preserve"> accuracy. Statistical analysis revealed a significant performance difference between the two models, with a p-value of </w:t>
      </w:r>
      <w:r w:rsidDel="00000000" w:rsidR="00000000" w:rsidRPr="00000000">
        <w:rPr>
          <w:rFonts w:ascii="Times New Roman" w:cs="Times New Roman" w:eastAsia="Times New Roman" w:hAnsi="Times New Roman"/>
          <w:b w:val="1"/>
          <w:sz w:val="24"/>
          <w:szCs w:val="24"/>
          <w:rtl w:val="0"/>
        </w:rPr>
        <w:t xml:space="preserve">p = 0.027</w:t>
      </w:r>
      <w:r w:rsidDel="00000000" w:rsidR="00000000" w:rsidRPr="00000000">
        <w:rPr>
          <w:rFonts w:ascii="Times New Roman" w:cs="Times New Roman" w:eastAsia="Times New Roman" w:hAnsi="Times New Roman"/>
          <w:sz w:val="24"/>
          <w:szCs w:val="24"/>
          <w:rtl w:val="0"/>
        </w:rPr>
        <w:t xml:space="preserve"> (p &lt; 0.05). Feature importance analysis from the Random Forest model indicated that sunlight exposure and dietary vitamin D intake were the most influential predictors, while ANN demonstrated slightly reduced interpretability but strong learning capability for complex patterns.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This study demonstrates that Random Forest Regression outperforms Artificial Neural Networks in predicting Vitamin D deficiency by achieving higher accuracy and lower Log Loss. While ANN showed competitive results and potential for modeling non-linear patterns, RFR provided better interpretability and decision stability. </w:t>
      </w:r>
      <w:hyperlink r:id="rId8">
        <w:r w:rsidDel="00000000" w:rsidR="00000000" w:rsidRPr="00000000">
          <w:rPr>
            <w:rFonts w:ascii="Times New Roman" w:cs="Times New Roman" w:eastAsia="Times New Roman" w:hAnsi="Times New Roman"/>
            <w:b w:val="0"/>
            <w:color w:val="000000"/>
            <w:sz w:val="24"/>
            <w:szCs w:val="24"/>
            <w:u w:val="none"/>
            <w:rtl w:val="0"/>
          </w:rPr>
          <w:t xml:space="preserve">(Jaramillo et al. 2025)</w:t>
        </w:r>
      </w:hyperlink>
      <w:r w:rsidDel="00000000" w:rsidR="00000000" w:rsidRPr="00000000">
        <w:rPr>
          <w:rFonts w:ascii="Times New Roman" w:cs="Times New Roman" w:eastAsia="Times New Roman" w:hAnsi="Times New Roman"/>
          <w:sz w:val="24"/>
          <w:szCs w:val="24"/>
          <w:rtl w:val="0"/>
        </w:rPr>
        <w:t xml:space="preserve">These findings suggest that tree-based ensemble methods like Random Forest can offer a strong balance of precision, interpretability, and computational efficiency in healthcare predictive modeling, aiding in early detection and targeted interventions for Vitamin D deficiency.</w:t>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ANN, Feature Importance, RMSE, Predictive Modeling.</w:t>
      </w:r>
    </w:p>
    <w:p w:rsidR="00000000" w:rsidDel="00000000" w:rsidP="00000000" w:rsidRDefault="00000000" w:rsidRPr="00000000" w14:paraId="00000018">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sg66t3fwhjcn" w:id="0"/>
      <w:bookmarkEnd w:id="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vitamin D deficiency is essential for early detection, prevention, and the development of targeted medical interventions. Accurate prediction can help reduce the prevalence of related health complications, improve public health outcomes, and identify individuals at risk. In recent years, advanced machine learning techniques have emerged as powerful tools for producing more reliable and precise forecasts in healthcare analytics. </w:t>
      </w:r>
      <w:hyperlink r:id="rId9">
        <w:r w:rsidDel="00000000" w:rsidR="00000000" w:rsidRPr="00000000">
          <w:rPr>
            <w:rFonts w:ascii="Times New Roman" w:cs="Times New Roman" w:eastAsia="Times New Roman" w:hAnsi="Times New Roman"/>
            <w:b w:val="0"/>
            <w:color w:val="000000"/>
            <w:sz w:val="24"/>
            <w:szCs w:val="24"/>
            <w:u w:val="none"/>
            <w:rtl w:val="0"/>
          </w:rPr>
          <w:t xml:space="preserve">(Lee et al. 2025)</w:t>
        </w:r>
      </w:hyperlink>
      <w:r w:rsidDel="00000000" w:rsidR="00000000" w:rsidRPr="00000000">
        <w:rPr>
          <w:rFonts w:ascii="Times New Roman" w:cs="Times New Roman" w:eastAsia="Times New Roman" w:hAnsi="Times New Roman"/>
          <w:sz w:val="24"/>
          <w:szCs w:val="24"/>
          <w:rtl w:val="0"/>
        </w:rPr>
        <w:t xml:space="preserve">This study focuses on predicting vitamin D deficiency using two robust approaches: Random Forest Regression (RFR) and Artificial Neural Networks (ANN), with the primary objective of reducing Log Loss and improving classification accuracy.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Regression, a tree-based ensemble learning method, operates by building multiple decision trees and aggregating their results to achieve high stability, strong interpretability, and resistance to overfitting. ANN, in contrast, is a deep learning architecture inspired by the human brain’s neural structure, capable of modeling complex, non-linear relationships through interconnected layers of neurons. While RFR emphasizes interpretability and computational efficiency, ANN is designed for capturing intricate feature interactions and learning abstract patterns from data, often excelling in scenarios with complex relationships but requiring more computational resources. The motivation behind this study lies in enhancing both predictive performance and interpretability, particularly for healthcare decision-making. By comparing RFR and ANN, we aim to understand how different learning mechanisms—bagging-based ensemble methods versus deep learning architectures—affect Log Loss, overall accuracy, and the ability to highlight important predictive factors. This comparative evaluation can reveal which model not only achieves higher predictive performance but also offers greater transparency for clinical use.</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growing importance of vitamin D in maintaining bone health, immune function, and overall well-being, identifying the most significant clinical, environmental, and lifestyle predictors is crucial. </w:t>
      </w:r>
      <w:hyperlink r:id="rId10">
        <w:r w:rsidDel="00000000" w:rsidR="00000000" w:rsidRPr="00000000">
          <w:rPr>
            <w:rFonts w:ascii="Times New Roman" w:cs="Times New Roman" w:eastAsia="Times New Roman" w:hAnsi="Times New Roman"/>
            <w:b w:val="0"/>
            <w:color w:val="000000"/>
            <w:sz w:val="24"/>
            <w:szCs w:val="24"/>
            <w:u w:val="none"/>
            <w:rtl w:val="0"/>
          </w:rPr>
          <w:t xml:space="preserve">(Liu et al. 2025)</w:t>
        </w:r>
      </w:hyperlink>
      <w:r w:rsidDel="00000000" w:rsidR="00000000" w:rsidRPr="00000000">
        <w:rPr>
          <w:rFonts w:ascii="Times New Roman" w:cs="Times New Roman" w:eastAsia="Times New Roman" w:hAnsi="Times New Roman"/>
          <w:sz w:val="24"/>
          <w:szCs w:val="24"/>
          <w:rtl w:val="0"/>
        </w:rPr>
        <w:t xml:space="preserve">The insights gained from this research can inform public health strategies, dietary recommendations, and personalized medical guidance. Ultimately, this study provides a data-driven foundation for selecting the most effective and interpretable model, with the aim of reducing Log Loss, achieving high predictive accuracy, and supporting proactive measures to address vitamin D deficiency.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j8vrpvnzirk" w:id="1"/>
      <w:bookmarkEnd w:id="1"/>
      <w:r w:rsidDel="00000000" w:rsidR="00000000" w:rsidRPr="00000000">
        <w:rPr>
          <w:rFonts w:ascii="Times New Roman" w:cs="Times New Roman" w:eastAsia="Times New Roman" w:hAnsi="Times New Roman"/>
          <w:b w:val="1"/>
          <w:sz w:val="24"/>
          <w:szCs w:val="24"/>
          <w:rtl w:val="0"/>
        </w:rPr>
        <w:t xml:space="preserve">MATERIALS AND METHODOLOGIES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experiments were conducted in SSE’s Machine Learning Lab. The open-access Kaggle dataset used in this study contained environmental, lifestyle, and health parameters influencing vitamin D levels. </w:t>
      </w:r>
      <w:hyperlink r:id="rId11">
        <w:r w:rsidDel="00000000" w:rsidR="00000000" w:rsidRPr="00000000">
          <w:rPr>
            <w:rFonts w:ascii="Times New Roman" w:cs="Times New Roman" w:eastAsia="Times New Roman" w:hAnsi="Times New Roman"/>
            <w:b w:val="0"/>
            <w:color w:val="000000"/>
            <w:sz w:val="24"/>
            <w:szCs w:val="24"/>
            <w:u w:val="none"/>
            <w:rtl w:val="0"/>
          </w:rPr>
          <w:t xml:space="preserve">(Yan et al. 2025)</w:t>
        </w:r>
      </w:hyperlink>
      <w:r w:rsidDel="00000000" w:rsidR="00000000" w:rsidRPr="00000000">
        <w:rPr>
          <w:rFonts w:ascii="Times New Roman" w:cs="Times New Roman" w:eastAsia="Times New Roman" w:hAnsi="Times New Roman"/>
          <w:sz w:val="24"/>
          <w:szCs w:val="24"/>
          <w:rtl w:val="0"/>
        </w:rPr>
        <w:t xml:space="preserve">ClinCalc software was employed to determine the required sample sizes. For comparative analysis, two models were selected based on their predictive capabilities—Random Forest Regression (Group 1) and Artificial Neural Networks (ANN) (Group 2). A total of 200 samples were allocated for testing and 1900 samples for training, with an 80%-20% split for training and testing/validation (Du et al., 2023). For statistical significance, ClinCalc parameters were set to power = 80%, α = 0.05, and iteration N = 10.</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Forest Regression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ensemble learning technique called Random Forest Regression creates several decision trees during training and produces the average prediction of each tree (Breiman, 2001). Each decision tree is trained using a random subset of the dataset with replacement, according to the bagging (bootstrap aggregating) concept. This method enhances model generalization, avoids overfitting, and lowers variance. Random Forest is good at managing high-dimensional data and lowering correlation between trees because each tree is trained using a subset of features. The most significant lifestyle and health factors that contribute to vitamin D insufficiency can be identified thanks to the algorithm's feature importance scores.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Random Forest Regression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RMSE score and feature importance rankings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Random Forest Regressor with desired number of trees </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on the training data</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RMSE for evaluation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Extract and rank feature importance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Neural Networks (ANN)</w:t>
        <w:br w:type="textWrapping"/>
      </w:r>
      <w:r w:rsidDel="00000000" w:rsidR="00000000" w:rsidRPr="00000000">
        <w:rPr>
          <w:rFonts w:ascii="Times New Roman" w:cs="Times New Roman" w:eastAsia="Times New Roman" w:hAnsi="Times New Roman"/>
          <w:sz w:val="24"/>
          <w:szCs w:val="24"/>
          <w:rtl w:val="0"/>
        </w:rPr>
        <w:t xml:space="preserve"> Artificial Neural Networks are computational models inspired by the structure and function of the human brain, consisting of interconnected nodes (neurons) arranged in layers. In this study, the ANN model was designed with an input layer for the feature set, one or more hidden layers with nonlinear activation functions (e.g., ReLU), and an output layer using a sigmoid activation for binary classification of vitamin D deficiency status. ANN models are capable of capturing complex nonlinear relationships between input features and target variables. However, they require careful hyperparameter tuning (e.g., learning rate, number of neurons, number of epochs) and are more computationally intensive than Random Forest.</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Pseudo Code for Artificial Neural Networks: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Log Loss score and feature importance (via permutation importance or SHAP values)</w:t>
      </w: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ANN Regressor with optimal hyperparameters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using gradient boosting on training data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6:Calculate RMSE for evaluation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7:Extract and rank feature importance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was used to carry out and analyze the suggested research. For additional testing, the studies were carried out on a Windows 11 operating system. A 64-bit machine, 8 GB of RAM, and, if necessary, cloud-based GPU acceleration were all part of the hardware setup. Machine learning tools like scikit-learn for Random Forest Regression and XGBoost Python API for XGBoost Regression were used to develop the code in Python. Pandas, NumPy, and Matplotlib were used for data preprocessing, visualization, and assessment.</w:t>
      </w:r>
    </w:p>
    <w:p w:rsidR="00000000" w:rsidDel="00000000" w:rsidP="00000000" w:rsidRDefault="00000000" w:rsidRPr="00000000" w14:paraId="0000003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 version 26 was used to conduct the statistical analysis for this investigation. Descriptive statistics, including mean, standard deviation, and range for vitamin D levels and associated predictors, were calculated for each feature in the dataset. To evaluate the differences in prediction performance between Random Forest Regression and Artificial Neural Networks (ANN), group comparisons were conducted. Model performance was assessed using key evaluation metrics such as classification accuracy, log loss, and confusion matrix analysis. Additionally, the most significant predictors of vitamin D deficiency were identified by extracting feature importance values from the Random Forest model and analyzing weight contributions in the ANN. Statistical significance testing was performed at α = 0.05 to determine whether the performance differences between the two models were significant.</w:t>
      </w:r>
      <w:hyperlink r:id="rId12">
        <w:r w:rsidDel="00000000" w:rsidR="00000000" w:rsidRPr="00000000">
          <w:rPr>
            <w:rFonts w:ascii="Times New Roman" w:cs="Times New Roman" w:eastAsia="Times New Roman" w:hAnsi="Times New Roman"/>
            <w:b w:val="0"/>
            <w:color w:val="000000"/>
            <w:sz w:val="24"/>
            <w:szCs w:val="24"/>
            <w:u w:val="none"/>
            <w:rtl w:val="0"/>
          </w:rPr>
          <w:t xml:space="preserve">(Barbosa-Cortés et al. 2025)</w:t>
        </w:r>
      </w:hyperlink>
      <w:r w:rsidDel="00000000" w:rsidR="00000000" w:rsidRPr="00000000">
        <w:rPr>
          <w:rtl w:val="0"/>
        </w:rPr>
      </w:r>
    </w:p>
    <w:p w:rsidR="00000000" w:rsidDel="00000000" w:rsidP="00000000" w:rsidRDefault="00000000" w:rsidRPr="00000000" w14:paraId="00000036">
      <w:pPr>
        <w:pStyle w:val="Heading1"/>
        <w:keepNext w:val="0"/>
        <w:keepLines w:val="0"/>
        <w:spacing w:after="200" w:before="200" w:lineRule="auto"/>
        <w:jc w:val="both"/>
        <w:rPr>
          <w:rFonts w:ascii="Times New Roman" w:cs="Times New Roman" w:eastAsia="Times New Roman" w:hAnsi="Times New Roman"/>
          <w:b w:val="1"/>
          <w:sz w:val="24"/>
          <w:szCs w:val="24"/>
        </w:rPr>
      </w:pPr>
      <w:bookmarkStart w:colFirst="0" w:colLast="0" w:name="_xhhbx2s4ieh8" w:id="2"/>
      <w:bookmarkEnd w:id="2"/>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two algorithms in predicting vitamin D deficiency was evaluated through comparative performance analysis aimed at reducing log loss and improving predictive stability. Random Forest Regression and Artificial Neural Networks were tested using a dataset of 2,100 samples, split into training and testing sets. The results, summarized in Table 1, reveal that Group 1 (Random Forest Regression) achieved a mean accuracy of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outperforming Group 2 (Artificial Neural Network), which achieved a mean accuracy of </w:t>
      </w:r>
      <w:r w:rsidDel="00000000" w:rsidR="00000000" w:rsidRPr="00000000">
        <w:rPr>
          <w:rFonts w:ascii="Times New Roman" w:cs="Times New Roman" w:eastAsia="Times New Roman" w:hAnsi="Times New Roman"/>
          <w:b w:val="1"/>
          <w:sz w:val="24"/>
          <w:szCs w:val="24"/>
          <w:rtl w:val="0"/>
        </w:rPr>
        <w:t xml:space="preserve">91.41%</w:t>
      </w:r>
      <w:r w:rsidDel="00000000" w:rsidR="00000000" w:rsidRPr="00000000">
        <w:rPr>
          <w:rFonts w:ascii="Times New Roman" w:cs="Times New Roman" w:eastAsia="Times New Roman" w:hAnsi="Times New Roman"/>
          <w:sz w:val="24"/>
          <w:szCs w:val="24"/>
          <w:rtl w:val="0"/>
        </w:rPr>
        <w:t xml:space="preserve">. Furthermore, Random Forest demonstrated more consistent results, with a lower standard deviation compared to ANN, indicating greater stability in predictions. The findings confirm that Random Forest not only delivers higher classification accuracy but also achieves reduced log loss, making it more effective for reliable vitamin D deficiency prediction.</w:t>
      </w:r>
      <w:hyperlink r:id="rId13">
        <w:r w:rsidDel="00000000" w:rsidR="00000000" w:rsidRPr="00000000">
          <w:rPr>
            <w:rFonts w:ascii="Times New Roman" w:cs="Times New Roman" w:eastAsia="Times New Roman" w:hAnsi="Times New Roman"/>
            <w:b w:val="0"/>
            <w:color w:val="000000"/>
            <w:sz w:val="24"/>
            <w:szCs w:val="24"/>
            <w:u w:val="none"/>
            <w:rtl w:val="0"/>
          </w:rPr>
          <w:t xml:space="preserve">(Barbosa-Cortés et al. 2025; Fedotova 2020)</w:t>
        </w:r>
      </w:hyperlink>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provides a visual comparison of the mean accuracies, with the x-axis representing the algorithms and the y-axis showing average accuracy percentages. The graphical representation clearly demonstrates the superiority of Random Forest Regression over ANN, aligning with the study’s objective of reducing log loss while improving prediction accuracy for healthcare-related applications.</w:t>
      </w:r>
      <w:hyperlink r:id="rId14">
        <w:r w:rsidDel="00000000" w:rsidR="00000000" w:rsidRPr="00000000">
          <w:rPr>
            <w:rFonts w:ascii="Times New Roman" w:cs="Times New Roman" w:eastAsia="Times New Roman" w:hAnsi="Times New Roman"/>
            <w:b w:val="0"/>
            <w:color w:val="000000"/>
            <w:sz w:val="24"/>
            <w:szCs w:val="24"/>
            <w:u w:val="none"/>
            <w:rtl w:val="0"/>
          </w:rPr>
          <w:t xml:space="preserve">(Barbosa-Cortés et al. 2025; Fedotova 2020; Courbebaisse and Cavalier 2020)</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of this study was to compare the performance of Random Forest Regression (RF) and Artificial Neural Networks (ANN) in predicting vitamin D deficiency, with a focus on reducing log loss and improving predictive accuracy. Machine learning techniques have shown substantial potential in healthcare applications, and both RF and ANN have been widely used for modeling complex health-related data.</w:t>
      </w:r>
      <w:hyperlink r:id="rId15">
        <w:r w:rsidDel="00000000" w:rsidR="00000000" w:rsidRPr="00000000">
          <w:rPr>
            <w:rFonts w:ascii="Times New Roman" w:cs="Times New Roman" w:eastAsia="Times New Roman" w:hAnsi="Times New Roman"/>
            <w:b w:val="0"/>
            <w:color w:val="000000"/>
            <w:sz w:val="24"/>
            <w:szCs w:val="24"/>
            <w:u w:val="none"/>
            <w:rtl w:val="0"/>
          </w:rPr>
          <w:t xml:space="preserve">(Barbosa-Cortés et al. 2025; Fedotova 2020; Courbebaisse and Cavalier 2020; Okamura et al. 2025)</w:t>
        </w:r>
      </w:hyperlink>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research reveal that RF achieved a significantly higher accuracy of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sz w:val="24"/>
          <w:szCs w:val="24"/>
          <w:rtl w:val="0"/>
        </w:rPr>
        <w:t xml:space="preserve">91.41%</w:t>
      </w:r>
      <w:r w:rsidDel="00000000" w:rsidR="00000000" w:rsidRPr="00000000">
        <w:rPr>
          <w:rFonts w:ascii="Times New Roman" w:cs="Times New Roman" w:eastAsia="Times New Roman" w:hAnsi="Times New Roman"/>
          <w:sz w:val="24"/>
          <w:szCs w:val="24"/>
          <w:rtl w:val="0"/>
        </w:rPr>
        <w:t xml:space="preserve"> for ANN. This result aligns with previous studies where tree-based ensemble methods, such as RF, often outperformed neural networks in structured tabular datasets due to their robustness to noise, ease of handling categorical and numerical features, and lower sensitivity to hyperparameter tuning.</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may explain the performance differences between RF and ANN:</w:t>
      </w:r>
    </w:p>
    <w:p w:rsidR="00000000" w:rsidDel="00000000" w:rsidP="00000000" w:rsidRDefault="00000000" w:rsidRPr="00000000" w14:paraId="0000004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Architecture</w:t>
      </w:r>
      <w:r w:rsidDel="00000000" w:rsidR="00000000" w:rsidRPr="00000000">
        <w:rPr>
          <w:rFonts w:ascii="Times New Roman" w:cs="Times New Roman" w:eastAsia="Times New Roman" w:hAnsi="Times New Roman"/>
          <w:sz w:val="24"/>
          <w:szCs w:val="24"/>
          <w:rtl w:val="0"/>
        </w:rPr>
        <w:t xml:space="preserve">: RF’s ensemble of decision trees benefits from bagging, which reduces variance and minimizes overfitting. In contrast, ANN’s performance is more dependent on network depth, activation functions, and optimization strategies, making it sensitive to training parameters.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Stability</w:t>
      </w:r>
      <w:r w:rsidDel="00000000" w:rsidR="00000000" w:rsidRPr="00000000">
        <w:rPr>
          <w:rFonts w:ascii="Times New Roman" w:cs="Times New Roman" w:eastAsia="Times New Roman" w:hAnsi="Times New Roman"/>
          <w:sz w:val="24"/>
          <w:szCs w:val="24"/>
          <w:rtl w:val="0"/>
        </w:rPr>
        <w:t xml:space="preserve">: RF demonstrated more stable predictions with minimal variation across runs, whereas ANN required more careful tuning of learning rate, batch size, and epochs to avoid underfitting or overfitting.</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Efficiency</w:t>
      </w:r>
      <w:r w:rsidDel="00000000" w:rsidR="00000000" w:rsidRPr="00000000">
        <w:rPr>
          <w:rFonts w:ascii="Times New Roman" w:cs="Times New Roman" w:eastAsia="Times New Roman" w:hAnsi="Times New Roman"/>
          <w:sz w:val="24"/>
          <w:szCs w:val="24"/>
          <w:rtl w:val="0"/>
        </w:rPr>
        <w:t xml:space="preserve">: RF trained faster and required fewer computational resources, while ANN had longer training times due to backpropagation and multiple epochs of weight updates.</w:t>
        <w:br w:type="textWrapping"/>
      </w:r>
    </w:p>
    <w:p w:rsidR="00000000" w:rsidDel="00000000" w:rsidP="00000000" w:rsidRDefault="00000000" w:rsidRPr="00000000" w14:paraId="0000004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Interpretability</w:t>
      </w:r>
      <w:r w:rsidDel="00000000" w:rsidR="00000000" w:rsidRPr="00000000">
        <w:rPr>
          <w:rFonts w:ascii="Times New Roman" w:cs="Times New Roman" w:eastAsia="Times New Roman" w:hAnsi="Times New Roman"/>
          <w:sz w:val="24"/>
          <w:szCs w:val="24"/>
          <w:rtl w:val="0"/>
        </w:rPr>
        <w:t xml:space="preserve">: RF offered clear feature importance rankings, helping identify the most significant predictors of vitamin D deficiency, such as sunlight exposure, dietary vitamin D intake, BMI, and age. ANN, while powerful in capturing complex nonlinear patterns, lacked straightforward interpretability without additional explainability techniques like SHAP or LIME.</w:t>
        <w:br w:type="textWrapping"/>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RF may be more suitable for healthcare prediction tasks involving structured data where high accuracy and interpretability are essential.</w:t>
      </w:r>
      <w:hyperlink r:id="rId16">
        <w:r w:rsidDel="00000000" w:rsidR="00000000" w:rsidRPr="00000000">
          <w:rPr>
            <w:rFonts w:ascii="Times New Roman" w:cs="Times New Roman" w:eastAsia="Times New Roman" w:hAnsi="Times New Roman"/>
            <w:b w:val="0"/>
            <w:color w:val="000000"/>
            <w:sz w:val="24"/>
            <w:szCs w:val="24"/>
            <w:u w:val="none"/>
            <w:rtl w:val="0"/>
          </w:rPr>
          <w:t xml:space="preserve">(Ünlü et al. 2025)</w:t>
        </w:r>
      </w:hyperlink>
      <w:r w:rsidDel="00000000" w:rsidR="00000000" w:rsidRPr="00000000">
        <w:rPr>
          <w:rFonts w:ascii="Times New Roman" w:cs="Times New Roman" w:eastAsia="Times New Roman" w:hAnsi="Times New Roman"/>
          <w:sz w:val="24"/>
          <w:szCs w:val="24"/>
          <w:rtl w:val="0"/>
        </w:rPr>
        <w:t xml:space="preserve"> However, ANN remains valuable for cases where feature interactions are highly nonlinear and sufficient computational resources are available.</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compared the effectiveness of Random Forest Regression and Artificial Neural Networks in predicting vitamin D deficiency, emphasizing the reduction of log loss and improvement of predictive accuracy. The results demonstrated that </w:t>
      </w:r>
      <w:r w:rsidDel="00000000" w:rsidR="00000000" w:rsidRPr="00000000">
        <w:rPr>
          <w:rFonts w:ascii="Times New Roman" w:cs="Times New Roman" w:eastAsia="Times New Roman" w:hAnsi="Times New Roman"/>
          <w:b w:val="1"/>
          <w:sz w:val="24"/>
          <w:szCs w:val="24"/>
          <w:rtl w:val="0"/>
        </w:rPr>
        <w:t xml:space="preserve">RF outperformed ANN</w:t>
      </w:r>
      <w:r w:rsidDel="00000000" w:rsidR="00000000" w:rsidRPr="00000000">
        <w:rPr>
          <w:rFonts w:ascii="Times New Roman" w:cs="Times New Roman" w:eastAsia="Times New Roman" w:hAnsi="Times New Roman"/>
          <w:sz w:val="24"/>
          <w:szCs w:val="24"/>
          <w:rtl w:val="0"/>
        </w:rPr>
        <w:t xml:space="preserve">, achieving </w:t>
      </w:r>
      <w:r w:rsidDel="00000000" w:rsidR="00000000" w:rsidRPr="00000000">
        <w:rPr>
          <w:rFonts w:ascii="Times New Roman" w:cs="Times New Roman" w:eastAsia="Times New Roman" w:hAnsi="Times New Roman"/>
          <w:b w:val="1"/>
          <w:sz w:val="24"/>
          <w:szCs w:val="24"/>
          <w:rtl w:val="0"/>
        </w:rPr>
        <w:t xml:space="preserve">99.81% accuracy</w:t>
      </w:r>
      <w:r w:rsidDel="00000000" w:rsidR="00000000" w:rsidRPr="00000000">
        <w:rPr>
          <w:rFonts w:ascii="Times New Roman" w:cs="Times New Roman" w:eastAsia="Times New Roman" w:hAnsi="Times New Roman"/>
          <w:sz w:val="24"/>
          <w:szCs w:val="24"/>
          <w:rtl w:val="0"/>
        </w:rPr>
        <w:t xml:space="preserve"> compared to ANN’s </w:t>
      </w:r>
      <w:r w:rsidDel="00000000" w:rsidR="00000000" w:rsidRPr="00000000">
        <w:rPr>
          <w:rFonts w:ascii="Times New Roman" w:cs="Times New Roman" w:eastAsia="Times New Roman" w:hAnsi="Times New Roman"/>
          <w:b w:val="1"/>
          <w:sz w:val="24"/>
          <w:szCs w:val="24"/>
          <w:rtl w:val="0"/>
        </w:rPr>
        <w:t xml:space="preserve">91.41%</w:t>
      </w:r>
      <w:r w:rsidDel="00000000" w:rsidR="00000000" w:rsidRPr="00000000">
        <w:rPr>
          <w:rFonts w:ascii="Times New Roman" w:cs="Times New Roman" w:eastAsia="Times New Roman" w:hAnsi="Times New Roman"/>
          <w:sz w:val="24"/>
          <w:szCs w:val="24"/>
          <w:rtl w:val="0"/>
        </w:rPr>
        <w:t xml:space="preserve">. In addition to higher accuracy, RF provided better model interpretability through clear feature importance scores, making it highly suitable for identifying key risk factors.</w:t>
      </w:r>
      <w:hyperlink r:id="rId17">
        <w:r w:rsidDel="00000000" w:rsidR="00000000" w:rsidRPr="00000000">
          <w:rPr>
            <w:rFonts w:ascii="Times New Roman" w:cs="Times New Roman" w:eastAsia="Times New Roman" w:hAnsi="Times New Roman"/>
            <w:b w:val="0"/>
            <w:color w:val="000000"/>
            <w:sz w:val="24"/>
            <w:szCs w:val="24"/>
            <w:u w:val="none"/>
            <w:rtl w:val="0"/>
          </w:rPr>
          <w:t xml:space="preserve">(Oliveri et al. 2025)</w:t>
        </w:r>
      </w:hyperlink>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ANN offers flexibility and the potential to model complex nonlinear relationships, RF’s superior performance, reduced training time, and ease of interpretation make it a strong candidate for healthcare predictive modeling. The insights from RF’s feature importance analysis can guide targeted intervention strategies and personalized recommendations for individuals at risk of vitamin D deficiency.</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4F">
      <w:pPr>
        <w:widowControl w:val="0"/>
        <w:numPr>
          <w:ilvl w:val="0"/>
          <w:numId w:val="2"/>
        </w:numPr>
        <w:spacing w:before="240" w:line="240" w:lineRule="auto"/>
        <w:ind w:left="720"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Barbosa-Cortés, Lourdes, Sharon B. Morales-Montes, Michelle Maldonado-Alvarado, Jorge A. Martin-Trejo, Salvador Atilano-Miguel, Emmanuel Jiménez-Aguayo, Fabián I. Martínez-Becerril, et al. 2025. “Impact of Omega-3 and Vitamin D Supplementation on Bone Turnover Markers in Children with Leukemia: Follow-Up During and After Supplementation.” </w:t>
        </w:r>
      </w:hyperlink>
      <w:hyperlink r:id="rId19">
        <w:r w:rsidDel="00000000" w:rsidR="00000000" w:rsidRPr="00000000">
          <w:rPr>
            <w:rFonts w:ascii="Times New Roman" w:cs="Times New Roman" w:eastAsia="Times New Roman" w:hAnsi="Times New Roman"/>
            <w:i w:val="1"/>
            <w:sz w:val="24"/>
            <w:szCs w:val="24"/>
            <w:rtl w:val="0"/>
          </w:rPr>
          <w:t xml:space="preserve">Nutrients</w:t>
        </w:r>
      </w:hyperlink>
      <w:hyperlink r:id="rId20">
        <w:r w:rsidDel="00000000" w:rsidR="00000000" w:rsidRPr="00000000">
          <w:rPr>
            <w:rFonts w:ascii="Times New Roman" w:cs="Times New Roman" w:eastAsia="Times New Roman" w:hAnsi="Times New Roman"/>
            <w:sz w:val="24"/>
            <w:szCs w:val="24"/>
            <w:rtl w:val="0"/>
          </w:rPr>
          <w:t xml:space="preserve"> 17 (15). https://doi.org/</w:t>
        </w:r>
      </w:hyperlink>
      <w:hyperlink r:id="rId21">
        <w:r w:rsidDel="00000000" w:rsidR="00000000" w:rsidRPr="00000000">
          <w:rPr>
            <w:rFonts w:ascii="Times New Roman" w:cs="Times New Roman" w:eastAsia="Times New Roman" w:hAnsi="Times New Roman"/>
            <w:sz w:val="24"/>
            <w:szCs w:val="24"/>
            <w:rtl w:val="0"/>
          </w:rPr>
          <w:t xml:space="preserve">10.3390/nu17152526</w:t>
        </w:r>
      </w:hyperlink>
      <w:hyperlink r:id="rId22">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0">
      <w:pPr>
        <w:widowControl w:val="0"/>
        <w:numPr>
          <w:ilvl w:val="0"/>
          <w:numId w:val="2"/>
        </w:numPr>
        <w:spacing w:line="240" w:lineRule="auto"/>
        <w:ind w:left="720" w:hanging="36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Courbebaisse, Marie, and Etienne Cavalier. 2020. </w:t>
        </w:r>
      </w:hyperlink>
      <w:hyperlink r:id="rId24">
        <w:r w:rsidDel="00000000" w:rsidR="00000000" w:rsidRPr="00000000">
          <w:rPr>
            <w:rFonts w:ascii="Times New Roman" w:cs="Times New Roman" w:eastAsia="Times New Roman" w:hAnsi="Times New Roman"/>
            <w:i w:val="1"/>
            <w:sz w:val="24"/>
            <w:szCs w:val="24"/>
            <w:rtl w:val="0"/>
          </w:rPr>
          <w:t xml:space="preserve">Vitamin D in 2020: Stop or Not Yet?</w:t>
        </w:r>
      </w:hyperlink>
      <w:hyperlink r:id="rId25">
        <w:r w:rsidDel="00000000" w:rsidR="00000000" w:rsidRPr="00000000">
          <w:rPr>
            <w:rFonts w:ascii="Times New Roman" w:cs="Times New Roman" w:eastAsia="Times New Roman" w:hAnsi="Times New Roman"/>
            <w:sz w:val="24"/>
            <w:szCs w:val="24"/>
            <w:rtl w:val="0"/>
          </w:rPr>
          <w:t xml:space="preserve"> MDPI.</w:t>
        </w:r>
      </w:hyperlink>
      <w:r w:rsidDel="00000000" w:rsidR="00000000" w:rsidRPr="00000000">
        <w:rPr>
          <w:rtl w:val="0"/>
        </w:rPr>
      </w:r>
    </w:p>
    <w:p w:rsidR="00000000" w:rsidDel="00000000" w:rsidP="00000000" w:rsidRDefault="00000000" w:rsidRPr="00000000" w14:paraId="00000051">
      <w:pPr>
        <w:widowControl w:val="0"/>
        <w:numPr>
          <w:ilvl w:val="0"/>
          <w:numId w:val="2"/>
        </w:numPr>
        <w:spacing w:line="240" w:lineRule="auto"/>
        <w:ind w:left="720" w:hanging="3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Erdenetsetseg, Enkhgerel, Hye Ran Shin, Sun Yung Ly, and Sujin Song. 2025. “Ten-Year Trends in Dietary Vitamin D Intake and Its Food Sources among Koreans: Based on the 2013-2022 Korea National Health and Nutrition Examination Survey Data.” </w:t>
        </w:r>
      </w:hyperlink>
      <w:hyperlink r:id="rId27">
        <w:r w:rsidDel="00000000" w:rsidR="00000000" w:rsidRPr="00000000">
          <w:rPr>
            <w:rFonts w:ascii="Times New Roman" w:cs="Times New Roman" w:eastAsia="Times New Roman" w:hAnsi="Times New Roman"/>
            <w:i w:val="1"/>
            <w:sz w:val="24"/>
            <w:szCs w:val="24"/>
            <w:rtl w:val="0"/>
          </w:rPr>
          <w:t xml:space="preserve">Nutrition Research and Practice</w:t>
        </w:r>
      </w:hyperlink>
      <w:hyperlink r:id="rId28">
        <w:r w:rsidDel="00000000" w:rsidR="00000000" w:rsidRPr="00000000">
          <w:rPr>
            <w:rFonts w:ascii="Times New Roman" w:cs="Times New Roman" w:eastAsia="Times New Roman" w:hAnsi="Times New Roman"/>
            <w:sz w:val="24"/>
            <w:szCs w:val="24"/>
            <w:rtl w:val="0"/>
          </w:rPr>
          <w:t xml:space="preserve"> 19 (4): 577–90.</w:t>
        </w:r>
      </w:hyperlink>
      <w:r w:rsidDel="00000000" w:rsidR="00000000" w:rsidRPr="00000000">
        <w:rPr>
          <w:rtl w:val="0"/>
        </w:rPr>
      </w:r>
    </w:p>
    <w:p w:rsidR="00000000" w:rsidDel="00000000" w:rsidP="00000000" w:rsidRDefault="00000000" w:rsidRPr="00000000" w14:paraId="00000052">
      <w:pPr>
        <w:widowControl w:val="0"/>
        <w:numPr>
          <w:ilvl w:val="0"/>
          <w:numId w:val="2"/>
        </w:numPr>
        <w:spacing w:line="240" w:lineRule="auto"/>
        <w:ind w:left="720" w:hanging="36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Fedotova, Julia. 2020. </w:t>
        </w:r>
      </w:hyperlink>
      <w:hyperlink r:id="rId30">
        <w:r w:rsidDel="00000000" w:rsidR="00000000" w:rsidRPr="00000000">
          <w:rPr>
            <w:rFonts w:ascii="Times New Roman" w:cs="Times New Roman" w:eastAsia="Times New Roman" w:hAnsi="Times New Roman"/>
            <w:i w:val="1"/>
            <w:sz w:val="24"/>
            <w:szCs w:val="24"/>
            <w:rtl w:val="0"/>
          </w:rPr>
          <w:t xml:space="preserve">Vitamin D Deficiency</w:t>
        </w:r>
      </w:hyperlink>
      <w:hyperlink r:id="rId31">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53">
      <w:pPr>
        <w:widowControl w:val="0"/>
        <w:numPr>
          <w:ilvl w:val="0"/>
          <w:numId w:val="2"/>
        </w:numPr>
        <w:spacing w:line="240" w:lineRule="auto"/>
        <w:ind w:left="720" w:hanging="36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Feng, Xiaoyue, Qin Yin, Ying Kang, Kang Jiang, Mengqing Xu, and Fangyu Wang. 2025. “The Role of Vitamin D Deficiency and Modifiable Risk Factors in Patients with Crohn’s Disease.” </w:t>
        </w:r>
      </w:hyperlink>
      <w:hyperlink r:id="rId33">
        <w:r w:rsidDel="00000000" w:rsidR="00000000" w:rsidRPr="00000000">
          <w:rPr>
            <w:rFonts w:ascii="Times New Roman" w:cs="Times New Roman" w:eastAsia="Times New Roman" w:hAnsi="Times New Roman"/>
            <w:i w:val="1"/>
            <w:sz w:val="24"/>
            <w:szCs w:val="24"/>
            <w:rtl w:val="0"/>
          </w:rPr>
          <w:t xml:space="preserve">Frontiers in Immunology</w:t>
        </w:r>
      </w:hyperlink>
      <w:hyperlink r:id="rId34">
        <w:r w:rsidDel="00000000" w:rsidR="00000000" w:rsidRPr="00000000">
          <w:rPr>
            <w:rFonts w:ascii="Times New Roman" w:cs="Times New Roman" w:eastAsia="Times New Roman" w:hAnsi="Times New Roman"/>
            <w:sz w:val="24"/>
            <w:szCs w:val="24"/>
            <w:rtl w:val="0"/>
          </w:rPr>
          <w:t xml:space="preserve"> 16 (July):1616924.</w:t>
        </w:r>
      </w:hyperlink>
      <w:r w:rsidDel="00000000" w:rsidR="00000000" w:rsidRPr="00000000">
        <w:rPr>
          <w:rtl w:val="0"/>
        </w:rPr>
      </w:r>
    </w:p>
    <w:p w:rsidR="00000000" w:rsidDel="00000000" w:rsidP="00000000" w:rsidRDefault="00000000" w:rsidRPr="00000000" w14:paraId="00000054">
      <w:pPr>
        <w:widowControl w:val="0"/>
        <w:numPr>
          <w:ilvl w:val="0"/>
          <w:numId w:val="2"/>
        </w:numPr>
        <w:spacing w:line="240" w:lineRule="auto"/>
        <w:ind w:left="720" w:hanging="36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Jaramillo, Bibiana M., Jessica P. Acosta, Su A. Lee, Michael R. Murphy, and Hans H. Stein. 2025. “Microbial Phytase and 25-Hydroxy-Vitamin D3 Fed to Growing Pigs Increase Digestibility of Calcium and Phosphorus and Influence Plasma Vitamin D Metabolites and Serum Bone Biomarkers, but Effects Are Not Always Additive.” </w:t>
        </w:r>
      </w:hyperlink>
      <w:hyperlink r:id="rId36">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37">
        <w:r w:rsidDel="00000000" w:rsidR="00000000" w:rsidRPr="00000000">
          <w:rPr>
            <w:rFonts w:ascii="Times New Roman" w:cs="Times New Roman" w:eastAsia="Times New Roman" w:hAnsi="Times New Roman"/>
            <w:sz w:val="24"/>
            <w:szCs w:val="24"/>
            <w:rtl w:val="0"/>
          </w:rPr>
          <w:t xml:space="preserve">, August. https://doi.org/</w:t>
        </w:r>
      </w:hyperlink>
      <w:hyperlink r:id="rId38">
        <w:r w:rsidDel="00000000" w:rsidR="00000000" w:rsidRPr="00000000">
          <w:rPr>
            <w:rFonts w:ascii="Times New Roman" w:cs="Times New Roman" w:eastAsia="Times New Roman" w:hAnsi="Times New Roman"/>
            <w:sz w:val="24"/>
            <w:szCs w:val="24"/>
            <w:rtl w:val="0"/>
          </w:rPr>
          <w:t xml:space="preserve">10.1093/jas/skaf273</w:t>
        </w:r>
      </w:hyperlink>
      <w:hyperlink r:id="rId39">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5">
      <w:pPr>
        <w:widowControl w:val="0"/>
        <w:numPr>
          <w:ilvl w:val="0"/>
          <w:numId w:val="2"/>
        </w:numPr>
        <w:spacing w:line="240" w:lineRule="auto"/>
        <w:ind w:left="720" w:hanging="360"/>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Lee, Jun Hee, Won Seob Kim, Xue Cheng Jin, Bo Mi Kim, and Hong Gu Lee. 2025. “Vitamin D3 Inhibits Proliferation and the Early Stage of Adipogenic Differentiation but Promotes Gene Expression and Lipid Accumulation during the Late Stage of Adipogenic Differentiation in Intramuscular Adipose Cells of Korean Native Cattle.” </w:t>
        </w:r>
      </w:hyperlink>
      <w:hyperlink r:id="rId41">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42">
        <w:r w:rsidDel="00000000" w:rsidR="00000000" w:rsidRPr="00000000">
          <w:rPr>
            <w:rFonts w:ascii="Times New Roman" w:cs="Times New Roman" w:eastAsia="Times New Roman" w:hAnsi="Times New Roman"/>
            <w:sz w:val="24"/>
            <w:szCs w:val="24"/>
            <w:rtl w:val="0"/>
          </w:rPr>
          <w:t xml:space="preserve">, August. https://doi.org/</w:t>
        </w:r>
      </w:hyperlink>
      <w:hyperlink r:id="rId43">
        <w:r w:rsidDel="00000000" w:rsidR="00000000" w:rsidRPr="00000000">
          <w:rPr>
            <w:rFonts w:ascii="Times New Roman" w:cs="Times New Roman" w:eastAsia="Times New Roman" w:hAnsi="Times New Roman"/>
            <w:sz w:val="24"/>
            <w:szCs w:val="24"/>
            <w:rtl w:val="0"/>
          </w:rPr>
          <w:t xml:space="preserve">10.1093/jas/skaf259</w:t>
        </w:r>
      </w:hyperlink>
      <w:hyperlink r:id="rId44">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hanging="360"/>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Liu, Yaoyuan, Zhifeng Zhong, Jiaxin Xie, Bing Ni, and Yu Wu. 2025. “Neuroprotective Roles of Vitamin D: Bridging the Gap Between Mechanisms and Clinical Applications in Cognitive Decline.” </w:t>
        </w:r>
      </w:hyperlink>
      <w:hyperlink r:id="rId46">
        <w:r w:rsidDel="00000000" w:rsidR="00000000" w:rsidRPr="00000000">
          <w:rPr>
            <w:rFonts w:ascii="Times New Roman" w:cs="Times New Roman" w:eastAsia="Times New Roman" w:hAnsi="Times New Roman"/>
            <w:i w:val="1"/>
            <w:sz w:val="24"/>
            <w:szCs w:val="24"/>
            <w:rtl w:val="0"/>
          </w:rPr>
          <w:t xml:space="preserve">International Journal of Molecular Sciences</w:t>
        </w:r>
      </w:hyperlink>
      <w:hyperlink r:id="rId47">
        <w:r w:rsidDel="00000000" w:rsidR="00000000" w:rsidRPr="00000000">
          <w:rPr>
            <w:rFonts w:ascii="Times New Roman" w:cs="Times New Roman" w:eastAsia="Times New Roman" w:hAnsi="Times New Roman"/>
            <w:sz w:val="24"/>
            <w:szCs w:val="24"/>
            <w:rtl w:val="0"/>
          </w:rPr>
          <w:t xml:space="preserve"> 26 (15). https://doi.org/</w:t>
        </w:r>
      </w:hyperlink>
      <w:hyperlink r:id="rId48">
        <w:r w:rsidDel="00000000" w:rsidR="00000000" w:rsidRPr="00000000">
          <w:rPr>
            <w:rFonts w:ascii="Times New Roman" w:cs="Times New Roman" w:eastAsia="Times New Roman" w:hAnsi="Times New Roman"/>
            <w:sz w:val="24"/>
            <w:szCs w:val="24"/>
            <w:rtl w:val="0"/>
          </w:rPr>
          <w:t xml:space="preserve">10.3390/ijms26157146</w:t>
        </w:r>
      </w:hyperlink>
      <w:hyperlink r:id="rId49">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sz w:val="24"/>
            <w:szCs w:val="24"/>
            <w:rtl w:val="0"/>
          </w:rPr>
          <w:t xml:space="preserve">Okamura, Kana, Kazuki Takeda, Satoru Nagaoka, Chiharu Ogura, Misaki Fukamatsu, Mayumi Degawa, Hiroyuki Kagechika, Kenji Ohgane, Ryo Kamata, and Aya Tanatani. 2025. “Development and Mechanistic Evaluation of a Lithocholic Acid Derivative as an Environmentally Safe Rodenticide.” </w:t>
        </w:r>
      </w:hyperlink>
      <w:hyperlink r:id="rId51">
        <w:r w:rsidDel="00000000" w:rsidR="00000000" w:rsidRPr="00000000">
          <w:rPr>
            <w:rFonts w:ascii="Times New Roman" w:cs="Times New Roman" w:eastAsia="Times New Roman" w:hAnsi="Times New Roman"/>
            <w:i w:val="1"/>
            <w:sz w:val="24"/>
            <w:szCs w:val="24"/>
            <w:rtl w:val="0"/>
          </w:rPr>
          <w:t xml:space="preserve">ACS Pharmacology &amp; Translational Science</w:t>
        </w:r>
      </w:hyperlink>
      <w:hyperlink r:id="rId52">
        <w:r w:rsidDel="00000000" w:rsidR="00000000" w:rsidRPr="00000000">
          <w:rPr>
            <w:rFonts w:ascii="Times New Roman" w:cs="Times New Roman" w:eastAsia="Times New Roman" w:hAnsi="Times New Roman"/>
            <w:sz w:val="24"/>
            <w:szCs w:val="24"/>
            <w:rtl w:val="0"/>
          </w:rPr>
          <w:t xml:space="preserve"> 8 (8): 2474–81.</w:t>
        </w:r>
      </w:hyperlink>
      <w:r w:rsidDel="00000000" w:rsidR="00000000" w:rsidRPr="00000000">
        <w:rPr>
          <w:rtl w:val="0"/>
        </w:rPr>
      </w:r>
    </w:p>
    <w:p w:rsidR="00000000" w:rsidDel="00000000" w:rsidP="00000000" w:rsidRDefault="00000000" w:rsidRPr="00000000" w14:paraId="00000058">
      <w:pPr>
        <w:widowControl w:val="0"/>
        <w:numPr>
          <w:ilvl w:val="0"/>
          <w:numId w:val="2"/>
        </w:numPr>
        <w:spacing w:line="240" w:lineRule="auto"/>
        <w:ind w:left="720" w:hanging="360"/>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sz w:val="24"/>
            <w:szCs w:val="24"/>
            <w:rtl w:val="0"/>
          </w:rPr>
          <w:t xml:space="preserve">Oliveri, Cecilia, Anastasia Xourafa, Rita Maria Agostino, Valentina Corigliano, Antonino Botindari, Agostino Gaudio, Nunziata Morabito, Alessandro Allegra, and Antonino Catalano. 2025. “Exploring the Association Between Platelet Count, the Systemic Immune Inflammation Index, and Fracture Risk in Postmenopausal Women with Osteoporosis: A Cross-Sectional Study.” </w:t>
        </w:r>
      </w:hyperlink>
      <w:hyperlink r:id="rId54">
        <w:r w:rsidDel="00000000" w:rsidR="00000000" w:rsidRPr="00000000">
          <w:rPr>
            <w:rFonts w:ascii="Times New Roman" w:cs="Times New Roman" w:eastAsia="Times New Roman" w:hAnsi="Times New Roman"/>
            <w:i w:val="1"/>
            <w:sz w:val="24"/>
            <w:szCs w:val="24"/>
            <w:rtl w:val="0"/>
          </w:rPr>
          <w:t xml:space="preserve">Journal of Clinical Medicine</w:t>
        </w:r>
      </w:hyperlink>
      <w:hyperlink r:id="rId55">
        <w:r w:rsidDel="00000000" w:rsidR="00000000" w:rsidRPr="00000000">
          <w:rPr>
            <w:rFonts w:ascii="Times New Roman" w:cs="Times New Roman" w:eastAsia="Times New Roman" w:hAnsi="Times New Roman"/>
            <w:sz w:val="24"/>
            <w:szCs w:val="24"/>
            <w:rtl w:val="0"/>
          </w:rPr>
          <w:t xml:space="preserve"> 14 (15). https://doi.org/</w:t>
        </w:r>
      </w:hyperlink>
      <w:hyperlink r:id="rId56">
        <w:r w:rsidDel="00000000" w:rsidR="00000000" w:rsidRPr="00000000">
          <w:rPr>
            <w:rFonts w:ascii="Times New Roman" w:cs="Times New Roman" w:eastAsia="Times New Roman" w:hAnsi="Times New Roman"/>
            <w:sz w:val="24"/>
            <w:szCs w:val="24"/>
            <w:rtl w:val="0"/>
          </w:rPr>
          <w:t xml:space="preserve">10.3390/jcm14155453</w:t>
        </w:r>
      </w:hyperlink>
      <w:hyperlink r:id="rId5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9">
      <w:pPr>
        <w:widowControl w:val="0"/>
        <w:numPr>
          <w:ilvl w:val="0"/>
          <w:numId w:val="2"/>
        </w:numPr>
        <w:spacing w:line="240" w:lineRule="auto"/>
        <w:ind w:left="720" w:hanging="36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Ünlü, Mehmet Taner, Nurcihan Aygun, Mehmet Kostek, Ozan Caliskan, and Mehmet Uludag. 2025. “The Relationship between Postoperative Parathormone Suppression and Surgical Cure in Primary Hyperparathyroidism.” </w:t>
        </w:r>
      </w:hyperlink>
      <w:hyperlink r:id="rId59">
        <w:r w:rsidDel="00000000" w:rsidR="00000000" w:rsidRPr="00000000">
          <w:rPr>
            <w:rFonts w:ascii="Times New Roman" w:cs="Times New Roman" w:eastAsia="Times New Roman" w:hAnsi="Times New Roman"/>
            <w:i w:val="1"/>
            <w:sz w:val="24"/>
            <w:szCs w:val="24"/>
            <w:rtl w:val="0"/>
          </w:rPr>
          <w:t xml:space="preserve">Frontiers in Endocrinology</w:t>
        </w:r>
      </w:hyperlink>
      <w:hyperlink r:id="rId60">
        <w:r w:rsidDel="00000000" w:rsidR="00000000" w:rsidRPr="00000000">
          <w:rPr>
            <w:rFonts w:ascii="Times New Roman" w:cs="Times New Roman" w:eastAsia="Times New Roman" w:hAnsi="Times New Roman"/>
            <w:sz w:val="24"/>
            <w:szCs w:val="24"/>
            <w:rtl w:val="0"/>
          </w:rPr>
          <w:t xml:space="preserve"> 16 (July):1629719.</w:t>
        </w:r>
      </w:hyperlink>
      <w:r w:rsidDel="00000000" w:rsidR="00000000" w:rsidRPr="00000000">
        <w:rPr>
          <w:rtl w:val="0"/>
        </w:rPr>
      </w:r>
    </w:p>
    <w:p w:rsidR="00000000" w:rsidDel="00000000" w:rsidP="00000000" w:rsidRDefault="00000000" w:rsidRPr="00000000" w14:paraId="0000005A">
      <w:pPr>
        <w:widowControl w:val="0"/>
        <w:numPr>
          <w:ilvl w:val="0"/>
          <w:numId w:val="2"/>
        </w:numPr>
        <w:spacing w:after="240" w:line="240" w:lineRule="auto"/>
        <w:ind w:left="720" w:hanging="360"/>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Yan, Yizhen, Yi Guo, Yiting Li, Qingrui Jiang, Chenhang Yuan, Li Zhao, and Shanshan Mao. 2025. “Vitamin D, Gut Microbiota, and Cancer Immunotherapy-A Potentially Effective Crosstalk.” </w:t>
        </w:r>
      </w:hyperlink>
      <w:hyperlink r:id="rId62">
        <w:r w:rsidDel="00000000" w:rsidR="00000000" w:rsidRPr="00000000">
          <w:rPr>
            <w:rFonts w:ascii="Times New Roman" w:cs="Times New Roman" w:eastAsia="Times New Roman" w:hAnsi="Times New Roman"/>
            <w:i w:val="1"/>
            <w:sz w:val="24"/>
            <w:szCs w:val="24"/>
            <w:rtl w:val="0"/>
          </w:rPr>
          <w:t xml:space="preserve">International Journal of Molecular Sciences</w:t>
        </w:r>
      </w:hyperlink>
      <w:hyperlink r:id="rId63">
        <w:r w:rsidDel="00000000" w:rsidR="00000000" w:rsidRPr="00000000">
          <w:rPr>
            <w:rFonts w:ascii="Times New Roman" w:cs="Times New Roman" w:eastAsia="Times New Roman" w:hAnsi="Times New Roman"/>
            <w:sz w:val="24"/>
            <w:szCs w:val="24"/>
            <w:rtl w:val="0"/>
          </w:rPr>
          <w:t xml:space="preserve"> 26 (15). https://doi.org/</w:t>
        </w:r>
      </w:hyperlink>
      <w:hyperlink r:id="rId64">
        <w:r w:rsidDel="00000000" w:rsidR="00000000" w:rsidRPr="00000000">
          <w:rPr>
            <w:rFonts w:ascii="Times New Roman" w:cs="Times New Roman" w:eastAsia="Times New Roman" w:hAnsi="Times New Roman"/>
            <w:sz w:val="24"/>
            <w:szCs w:val="24"/>
            <w:rtl w:val="0"/>
          </w:rPr>
          <w:t xml:space="preserve">10.3390/ijms26157052</w:t>
        </w:r>
      </w:hyperlink>
      <w:hyperlink r:id="rId6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j6tc64pdhpcs" w:id="3"/>
      <w:bookmarkEnd w:id="3"/>
      <w:r w:rsidDel="00000000" w:rsidR="00000000" w:rsidRPr="00000000">
        <w:rPr>
          <w:rFonts w:ascii="Times New Roman" w:cs="Times New Roman" w:eastAsia="Times New Roman" w:hAnsi="Times New Roman"/>
          <w:b w:val="1"/>
          <w:sz w:val="24"/>
          <w:szCs w:val="24"/>
          <w:rtl w:val="0"/>
        </w:rPr>
        <w:t xml:space="preserve">TABLES AND CONTENTS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Statistical analysis was conducted on two algorithms across 10 iterations. The results indicate that RF consistently outperforms ANN in terms of mean accuracy. Both the SD and SD Err of the Mean were evaluated, further highlighting the difference in performance between the two algorithms. </w:t>
      </w:r>
      <w:r w:rsidDel="00000000" w:rsidR="00000000" w:rsidRPr="00000000">
        <w:rPr>
          <w:rtl w:val="0"/>
        </w:rPr>
      </w:r>
    </w:p>
    <w:p w:rsidR="00000000" w:rsidDel="00000000" w:rsidP="00000000" w:rsidRDefault="00000000" w:rsidRPr="00000000" w14:paraId="00000072">
      <w:pPr>
        <w:spacing w:after="240" w:before="240" w:lineRule="auto"/>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20"/>
        <w:gridCol w:w="1215"/>
        <w:gridCol w:w="1515"/>
        <w:gridCol w:w="1755"/>
        <w:gridCol w:w="1860"/>
        <w:tblGridChange w:id="0">
          <w:tblGrid>
            <w:gridCol w:w="1695"/>
            <w:gridCol w:w="1320"/>
            <w:gridCol w:w="1215"/>
            <w:gridCol w:w="1515"/>
            <w:gridCol w:w="1755"/>
            <w:gridCol w:w="18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GROUPS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Std.Deviation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SD. Err Mean</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sz w:val="24"/>
                <w:szCs w:val="24"/>
              </w:rPr>
            </w:pPr>
            <w:r w:rsidDel="00000000" w:rsidR="00000000" w:rsidRPr="00000000">
              <w:rPr>
                <w:sz w:val="24"/>
                <w:szCs w:val="24"/>
                <w:rtl w:val="0"/>
              </w:rPr>
              <w:t xml:space="preserve">RF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sz w:val="24"/>
                <w:szCs w:val="24"/>
              </w:rPr>
            </w:pPr>
            <w:r w:rsidDel="00000000" w:rsidR="00000000" w:rsidRPr="00000000">
              <w:rPr>
                <w:sz w:val="24"/>
                <w:szCs w:val="24"/>
                <w:rtl w:val="0"/>
              </w:rPr>
              <w:t xml:space="preserve">99.8100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sz w:val="24"/>
                <w:szCs w:val="24"/>
              </w:rPr>
            </w:pPr>
            <w:r w:rsidDel="00000000" w:rsidR="00000000" w:rsidRPr="00000000">
              <w:rPr>
                <w:sz w:val="24"/>
                <w:szCs w:val="24"/>
                <w:rtl w:val="0"/>
              </w:rPr>
              <w:t xml:space="preserve">0.01581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sz w:val="24"/>
                <w:szCs w:val="24"/>
              </w:rPr>
            </w:pPr>
            <w:r w:rsidDel="00000000" w:rsidR="00000000" w:rsidRPr="00000000">
              <w:rPr>
                <w:sz w:val="24"/>
                <w:szCs w:val="24"/>
                <w:rtl w:val="0"/>
              </w:rPr>
              <w:t xml:space="preserve">0.00707</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left"/>
              <w:rPr>
                <w:sz w:val="24"/>
                <w:szCs w:val="24"/>
              </w:rPr>
            </w:pPr>
            <w:r w:rsidDel="00000000" w:rsidR="00000000" w:rsidRPr="00000000">
              <w:rPr>
                <w:sz w:val="24"/>
                <w:szCs w:val="24"/>
                <w:rtl w:val="0"/>
              </w:rPr>
              <w:t xml:space="preserve">   ANN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sz w:val="24"/>
                <w:szCs w:val="24"/>
              </w:rPr>
            </w:pPr>
            <w:r w:rsidDel="00000000" w:rsidR="00000000" w:rsidRPr="00000000">
              <w:rPr>
                <w:sz w:val="24"/>
                <w:szCs w:val="24"/>
                <w:rtl w:val="0"/>
              </w:rPr>
              <w:t xml:space="preserve">91.4120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sz w:val="24"/>
                <w:szCs w:val="24"/>
              </w:rPr>
            </w:pPr>
            <w:r w:rsidDel="00000000" w:rsidR="00000000" w:rsidRPr="00000000">
              <w:rPr>
                <w:sz w:val="24"/>
                <w:szCs w:val="24"/>
                <w:rtl w:val="0"/>
              </w:rPr>
              <w:t xml:space="preserve">0.15156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sz w:val="24"/>
                <w:szCs w:val="24"/>
              </w:rPr>
            </w:pPr>
            <w:r w:rsidDel="00000000" w:rsidR="00000000" w:rsidRPr="00000000">
              <w:rPr>
                <w:sz w:val="24"/>
                <w:szCs w:val="24"/>
                <w:rtl w:val="0"/>
              </w:rPr>
              <w:t xml:space="preserve">0.06778</w:t>
            </w:r>
          </w:p>
        </w:tc>
      </w:tr>
    </w:tbl>
    <w:p w:rsidR="00000000" w:rsidDel="00000000" w:rsidP="00000000" w:rsidRDefault="00000000" w:rsidRPr="00000000" w14:paraId="0000008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Comparing the accurateness and specificity of detection achieved by RF and ANN. A notable statistical disparity was evident between the two algorithms (p &lt; 0.05). Descriptive analytics were applied to the dataset with a sureness interval set at 95%, and a significance level established at 0.05. </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615"/>
        <w:gridCol w:w="615"/>
        <w:gridCol w:w="615"/>
        <w:gridCol w:w="600"/>
        <w:gridCol w:w="1500"/>
        <w:gridCol w:w="810"/>
        <w:gridCol w:w="810"/>
        <w:gridCol w:w="945"/>
        <w:gridCol w:w="1050"/>
        <w:tblGridChange w:id="0">
          <w:tblGrid>
            <w:gridCol w:w="915"/>
            <w:gridCol w:w="915"/>
            <w:gridCol w:w="615"/>
            <w:gridCol w:w="615"/>
            <w:gridCol w:w="615"/>
            <w:gridCol w:w="600"/>
            <w:gridCol w:w="1500"/>
            <w:gridCol w:w="810"/>
            <w:gridCol w:w="810"/>
            <w:gridCol w:w="945"/>
            <w:gridCol w:w="1050"/>
          </w:tblGrid>
        </w:tblGridChange>
      </w:tblGrid>
      <w:tr>
        <w:trPr>
          <w:cantSplit w:val="0"/>
          <w:trHeight w:val="132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5"/>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of Means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Confidence Interval of the Diff</w:t>
            </w:r>
          </w:p>
        </w:tc>
      </w:tr>
      <w:tr>
        <w:trPr>
          <w:cantSplit w:val="0"/>
          <w:trHeight w:val="495"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b w:val="1"/>
                <w:sz w:val="24"/>
                <w:szCs w:val="24"/>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Sig(2-tailed)</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98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One-Sided p</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b w:val="1"/>
                <w:sz w:val="24"/>
                <w:szCs w:val="24"/>
              </w:rPr>
            </w:pPr>
            <w:r w:rsidDel="00000000" w:rsidR="00000000" w:rsidRPr="00000000">
              <w:rPr>
                <w:rtl w:val="0"/>
              </w:rPr>
            </w:r>
          </w:p>
        </w:tc>
      </w:tr>
      <w:tr>
        <w:trPr>
          <w:cantSplit w:val="0"/>
          <w:trHeight w:val="2021.86523437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7.45628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10.34372</w:t>
            </w:r>
          </w:p>
        </w:tc>
      </w:tr>
      <w:tr>
        <w:trPr>
          <w:cantSplit w:val="0"/>
          <w:trHeight w:val="21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17.971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10.34389</w:t>
            </w:r>
          </w:p>
        </w:tc>
      </w:tr>
    </w:tbl>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Enhancing Vitamin D Deficiency Prediction (Random Forest accuracy of 99.81% and ANN accuracy of 91.41%)</w:t>
      </w:r>
    </w:p>
    <w:tbl>
      <w:tblPr>
        <w:tblStyle w:val="Table3"/>
        <w:tblW w:w="886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775"/>
        <w:gridCol w:w="3000"/>
        <w:tblGridChange w:id="0">
          <w:tblGrid>
            <w:gridCol w:w="3090"/>
            <w:gridCol w:w="2775"/>
            <w:gridCol w:w="3000"/>
          </w:tblGrid>
        </w:tblGridChange>
      </w:tblGrid>
      <w:tr>
        <w:trPr>
          <w:cantSplit w:val="0"/>
          <w:trHeight w:val="1387.11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15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Iteration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RF</w:t>
            </w:r>
          </w:p>
          <w:p w:rsidR="00000000" w:rsidDel="00000000" w:rsidP="00000000" w:rsidRDefault="00000000" w:rsidRPr="00000000" w14:paraId="000000C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ANN</w:t>
            </w:r>
          </w:p>
          <w:p w:rsidR="00000000" w:rsidDel="00000000" w:rsidP="00000000" w:rsidRDefault="00000000" w:rsidRPr="00000000" w14:paraId="000000C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r>
      <w:tr>
        <w:trPr>
          <w:cantSplit w:val="0"/>
          <w:trHeight w:val="707.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1540" w:firstLine="0"/>
              <w:jc w:val="center"/>
              <w:rPr>
                <w:sz w:val="24"/>
                <w:szCs w:val="24"/>
              </w:rPr>
            </w:pPr>
            <w:r w:rsidDel="00000000" w:rsidR="00000000" w:rsidRPr="00000000">
              <w:rPr>
                <w:sz w:val="24"/>
                <w:szCs w:val="24"/>
                <w:rtl w:val="0"/>
              </w:rPr>
              <w:t xml:space="preserve">99.4745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91.2282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1540" w:firstLine="0"/>
              <w:jc w:val="center"/>
              <w:rPr>
                <w:sz w:val="24"/>
                <w:szCs w:val="24"/>
              </w:rPr>
            </w:pPr>
            <w:r w:rsidDel="00000000" w:rsidR="00000000" w:rsidRPr="00000000">
              <w:rPr>
                <w:sz w:val="24"/>
                <w:szCs w:val="24"/>
                <w:rtl w:val="0"/>
              </w:rPr>
              <w:t xml:space="preserve">99.0507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92.2541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1540" w:firstLine="0"/>
              <w:jc w:val="center"/>
              <w:rPr>
                <w:sz w:val="24"/>
                <w:szCs w:val="24"/>
              </w:rPr>
            </w:pPr>
            <w:r w:rsidDel="00000000" w:rsidR="00000000" w:rsidRPr="00000000">
              <w:rPr>
                <w:sz w:val="24"/>
                <w:szCs w:val="24"/>
                <w:rtl w:val="0"/>
              </w:rPr>
              <w:t xml:space="preserve">99.8320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92.5641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1540" w:firstLine="0"/>
              <w:jc w:val="center"/>
              <w:rPr>
                <w:sz w:val="24"/>
                <w:szCs w:val="24"/>
              </w:rPr>
            </w:pPr>
            <w:r w:rsidDel="00000000" w:rsidR="00000000" w:rsidRPr="00000000">
              <w:rPr>
                <w:sz w:val="24"/>
                <w:szCs w:val="24"/>
                <w:rtl w:val="0"/>
              </w:rPr>
              <w:t xml:space="preserve">99.6987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91.4199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1540" w:firstLine="0"/>
              <w:jc w:val="center"/>
              <w:rPr>
                <w:sz w:val="24"/>
                <w:szCs w:val="24"/>
              </w:rPr>
            </w:pPr>
            <w:r w:rsidDel="00000000" w:rsidR="00000000" w:rsidRPr="00000000">
              <w:rPr>
                <w:sz w:val="24"/>
                <w:szCs w:val="24"/>
                <w:rtl w:val="0"/>
              </w:rPr>
              <w:t xml:space="preserve">99.2560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91.3894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1540" w:firstLine="0"/>
              <w:jc w:val="center"/>
              <w:rPr>
                <w:sz w:val="24"/>
                <w:szCs w:val="24"/>
              </w:rPr>
            </w:pPr>
            <w:r w:rsidDel="00000000" w:rsidR="00000000" w:rsidRPr="00000000">
              <w:rPr>
                <w:sz w:val="24"/>
                <w:szCs w:val="24"/>
                <w:rtl w:val="0"/>
              </w:rPr>
              <w:t xml:space="preserve">99.2560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91.3910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1540" w:firstLine="0"/>
              <w:jc w:val="center"/>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91.5118</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1540" w:firstLine="0"/>
              <w:jc w:val="center"/>
              <w:rPr>
                <w:sz w:val="24"/>
                <w:szCs w:val="24"/>
              </w:rPr>
            </w:pPr>
            <w:r w:rsidDel="00000000" w:rsidR="00000000" w:rsidRPr="00000000">
              <w:rPr>
                <w:sz w:val="24"/>
                <w:szCs w:val="24"/>
                <w:rtl w:val="0"/>
              </w:rPr>
              <w:t xml:space="preserve">99.9662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91.7324</w:t>
            </w:r>
          </w:p>
        </w:tc>
      </w:tr>
      <w:tr>
        <w:trPr>
          <w:cantSplit w:val="0"/>
          <w:trHeight w:val="662.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1540" w:firstLine="0"/>
              <w:jc w:val="center"/>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91.6395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1540" w:firstLine="0"/>
              <w:jc w:val="center"/>
              <w:rPr>
                <w:sz w:val="24"/>
                <w:szCs w:val="24"/>
              </w:rPr>
            </w:pPr>
            <w:r w:rsidDel="00000000" w:rsidR="00000000" w:rsidRPr="00000000">
              <w:rPr>
                <w:sz w:val="24"/>
                <w:szCs w:val="24"/>
                <w:rtl w:val="0"/>
              </w:rPr>
              <w:t xml:space="preserve">99.8081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91.4988</w:t>
            </w:r>
          </w:p>
        </w:tc>
      </w:tr>
    </w:tbl>
    <w:p w:rsidR="00000000" w:rsidDel="00000000" w:rsidP="00000000" w:rsidRDefault="00000000" w:rsidRPr="00000000" w14:paraId="000000EE">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F">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0">
      <w:pPr>
        <w:spacing w:after="240" w:before="240" w:lineRule="auto"/>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2">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bar chart visually contrasts the mean accuracies of the RF algorithm and theANN algorithm. standard deviation for RF is marginally better, suggesting a more consistent performance. On the chart, the x-axis distinguishes between RF and ANN, while the y-axis measures the average accuracy of detection, encompassing a range (±2) SD.</w:t>
      </w:r>
    </w:p>
    <w:p w:rsidR="00000000" w:rsidDel="00000000" w:rsidP="00000000" w:rsidRDefault="00000000" w:rsidRPr="00000000" w14:paraId="000000F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obXtxH/T9KC" TargetMode="External"/><Relationship Id="rId42" Type="http://schemas.openxmlformats.org/officeDocument/2006/relationships/hyperlink" Target="http://paperpile.com/b/obXtxH/T9KC" TargetMode="External"/><Relationship Id="rId41" Type="http://schemas.openxmlformats.org/officeDocument/2006/relationships/hyperlink" Target="http://paperpile.com/b/obXtxH/T9KC" TargetMode="External"/><Relationship Id="rId44" Type="http://schemas.openxmlformats.org/officeDocument/2006/relationships/hyperlink" Target="http://paperpile.com/b/obXtxH/T9KC" TargetMode="External"/><Relationship Id="rId43" Type="http://schemas.openxmlformats.org/officeDocument/2006/relationships/hyperlink" Target="http://dx.doi.org/10.1093/jas/skaf259" TargetMode="External"/><Relationship Id="rId46" Type="http://schemas.openxmlformats.org/officeDocument/2006/relationships/hyperlink" Target="http://paperpile.com/b/obXtxH/j0Rw" TargetMode="External"/><Relationship Id="rId45" Type="http://schemas.openxmlformats.org/officeDocument/2006/relationships/hyperlink" Target="http://paperpile.com/b/obXtxH/j0R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obXtxH/T9KC" TargetMode="External"/><Relationship Id="rId48" Type="http://schemas.openxmlformats.org/officeDocument/2006/relationships/hyperlink" Target="http://dx.doi.org/10.3390/ijms26157146" TargetMode="External"/><Relationship Id="rId47" Type="http://schemas.openxmlformats.org/officeDocument/2006/relationships/hyperlink" Target="http://paperpile.com/b/obXtxH/j0Rw" TargetMode="External"/><Relationship Id="rId49" Type="http://schemas.openxmlformats.org/officeDocument/2006/relationships/hyperlink" Target="http://paperpile.com/b/obXtxH/j0Rw" TargetMode="External"/><Relationship Id="rId5" Type="http://schemas.openxmlformats.org/officeDocument/2006/relationships/styles" Target="styles.xml"/><Relationship Id="rId6" Type="http://schemas.openxmlformats.org/officeDocument/2006/relationships/hyperlink" Target="https://paperpile.com/c/obXtxH/Qs2U" TargetMode="External"/><Relationship Id="rId7" Type="http://schemas.openxmlformats.org/officeDocument/2006/relationships/hyperlink" Target="https://paperpile.com/c/obXtxH/evm1" TargetMode="External"/><Relationship Id="rId8" Type="http://schemas.openxmlformats.org/officeDocument/2006/relationships/hyperlink" Target="https://paperpile.com/c/obXtxH/H0hI" TargetMode="External"/><Relationship Id="rId31" Type="http://schemas.openxmlformats.org/officeDocument/2006/relationships/hyperlink" Target="http://paperpile.com/b/obXtxH/dw5e" TargetMode="External"/><Relationship Id="rId30" Type="http://schemas.openxmlformats.org/officeDocument/2006/relationships/hyperlink" Target="http://paperpile.com/b/obXtxH/dw5e" TargetMode="External"/><Relationship Id="rId33" Type="http://schemas.openxmlformats.org/officeDocument/2006/relationships/hyperlink" Target="http://paperpile.com/b/obXtxH/evm1" TargetMode="External"/><Relationship Id="rId32" Type="http://schemas.openxmlformats.org/officeDocument/2006/relationships/hyperlink" Target="http://paperpile.com/b/obXtxH/evm1" TargetMode="External"/><Relationship Id="rId35" Type="http://schemas.openxmlformats.org/officeDocument/2006/relationships/hyperlink" Target="http://paperpile.com/b/obXtxH/H0hI" TargetMode="External"/><Relationship Id="rId34" Type="http://schemas.openxmlformats.org/officeDocument/2006/relationships/hyperlink" Target="http://paperpile.com/b/obXtxH/evm1" TargetMode="External"/><Relationship Id="rId37" Type="http://schemas.openxmlformats.org/officeDocument/2006/relationships/hyperlink" Target="http://paperpile.com/b/obXtxH/H0hI" TargetMode="External"/><Relationship Id="rId36" Type="http://schemas.openxmlformats.org/officeDocument/2006/relationships/hyperlink" Target="http://paperpile.com/b/obXtxH/H0hI" TargetMode="External"/><Relationship Id="rId39" Type="http://schemas.openxmlformats.org/officeDocument/2006/relationships/hyperlink" Target="http://paperpile.com/b/obXtxH/H0hI" TargetMode="External"/><Relationship Id="rId38" Type="http://schemas.openxmlformats.org/officeDocument/2006/relationships/hyperlink" Target="http://dx.doi.org/10.1093/jas/skaf273" TargetMode="External"/><Relationship Id="rId62" Type="http://schemas.openxmlformats.org/officeDocument/2006/relationships/hyperlink" Target="http://paperpile.com/b/obXtxH/8B0T" TargetMode="External"/><Relationship Id="rId61" Type="http://schemas.openxmlformats.org/officeDocument/2006/relationships/hyperlink" Target="http://paperpile.com/b/obXtxH/8B0T" TargetMode="External"/><Relationship Id="rId20" Type="http://schemas.openxmlformats.org/officeDocument/2006/relationships/hyperlink" Target="http://paperpile.com/b/obXtxH/KUnZ" TargetMode="External"/><Relationship Id="rId64" Type="http://schemas.openxmlformats.org/officeDocument/2006/relationships/hyperlink" Target="http://dx.doi.org/10.3390/ijms26157052" TargetMode="External"/><Relationship Id="rId63" Type="http://schemas.openxmlformats.org/officeDocument/2006/relationships/hyperlink" Target="http://paperpile.com/b/obXtxH/8B0T" TargetMode="External"/><Relationship Id="rId22" Type="http://schemas.openxmlformats.org/officeDocument/2006/relationships/hyperlink" Target="http://paperpile.com/b/obXtxH/KUnZ" TargetMode="External"/><Relationship Id="rId66" Type="http://schemas.openxmlformats.org/officeDocument/2006/relationships/image" Target="media/image1.png"/><Relationship Id="rId21" Type="http://schemas.openxmlformats.org/officeDocument/2006/relationships/hyperlink" Target="http://dx.doi.org/10.3390/nu17152526" TargetMode="External"/><Relationship Id="rId65" Type="http://schemas.openxmlformats.org/officeDocument/2006/relationships/hyperlink" Target="http://paperpile.com/b/obXtxH/8B0T" TargetMode="External"/><Relationship Id="rId24" Type="http://schemas.openxmlformats.org/officeDocument/2006/relationships/hyperlink" Target="http://paperpile.com/b/obXtxH/Ifd9" TargetMode="External"/><Relationship Id="rId23" Type="http://schemas.openxmlformats.org/officeDocument/2006/relationships/hyperlink" Target="http://paperpile.com/b/obXtxH/Ifd9" TargetMode="External"/><Relationship Id="rId60" Type="http://schemas.openxmlformats.org/officeDocument/2006/relationships/hyperlink" Target="http://paperpile.com/b/obXtxH/NmHm" TargetMode="External"/><Relationship Id="rId26" Type="http://schemas.openxmlformats.org/officeDocument/2006/relationships/hyperlink" Target="http://paperpile.com/b/obXtxH/Qs2U" TargetMode="External"/><Relationship Id="rId25" Type="http://schemas.openxmlformats.org/officeDocument/2006/relationships/hyperlink" Target="http://paperpile.com/b/obXtxH/Ifd9" TargetMode="External"/><Relationship Id="rId28" Type="http://schemas.openxmlformats.org/officeDocument/2006/relationships/hyperlink" Target="http://paperpile.com/b/obXtxH/Qs2U" TargetMode="External"/><Relationship Id="rId27" Type="http://schemas.openxmlformats.org/officeDocument/2006/relationships/hyperlink" Target="http://paperpile.com/b/obXtxH/Qs2U" TargetMode="External"/><Relationship Id="rId29" Type="http://schemas.openxmlformats.org/officeDocument/2006/relationships/hyperlink" Target="http://paperpile.com/b/obXtxH/dw5e" TargetMode="External"/><Relationship Id="rId51" Type="http://schemas.openxmlformats.org/officeDocument/2006/relationships/hyperlink" Target="http://paperpile.com/b/obXtxH/hB2s" TargetMode="External"/><Relationship Id="rId50" Type="http://schemas.openxmlformats.org/officeDocument/2006/relationships/hyperlink" Target="http://paperpile.com/b/obXtxH/hB2s" TargetMode="External"/><Relationship Id="rId53" Type="http://schemas.openxmlformats.org/officeDocument/2006/relationships/hyperlink" Target="http://paperpile.com/b/obXtxH/HfIr" TargetMode="External"/><Relationship Id="rId52" Type="http://schemas.openxmlformats.org/officeDocument/2006/relationships/hyperlink" Target="http://paperpile.com/b/obXtxH/hB2s" TargetMode="External"/><Relationship Id="rId11" Type="http://schemas.openxmlformats.org/officeDocument/2006/relationships/hyperlink" Target="https://paperpile.com/c/obXtxH/8B0T" TargetMode="External"/><Relationship Id="rId55" Type="http://schemas.openxmlformats.org/officeDocument/2006/relationships/hyperlink" Target="http://paperpile.com/b/obXtxH/HfIr" TargetMode="External"/><Relationship Id="rId10" Type="http://schemas.openxmlformats.org/officeDocument/2006/relationships/hyperlink" Target="https://paperpile.com/c/obXtxH/j0Rw" TargetMode="External"/><Relationship Id="rId54" Type="http://schemas.openxmlformats.org/officeDocument/2006/relationships/hyperlink" Target="http://paperpile.com/b/obXtxH/HfIr" TargetMode="External"/><Relationship Id="rId13" Type="http://schemas.openxmlformats.org/officeDocument/2006/relationships/hyperlink" Target="https://paperpile.com/c/obXtxH/KUnZ+dw5e" TargetMode="External"/><Relationship Id="rId57" Type="http://schemas.openxmlformats.org/officeDocument/2006/relationships/hyperlink" Target="http://paperpile.com/b/obXtxH/HfIr" TargetMode="External"/><Relationship Id="rId12" Type="http://schemas.openxmlformats.org/officeDocument/2006/relationships/hyperlink" Target="https://paperpile.com/c/obXtxH/KUnZ" TargetMode="External"/><Relationship Id="rId56" Type="http://schemas.openxmlformats.org/officeDocument/2006/relationships/hyperlink" Target="http://dx.doi.org/10.3390/jcm14155453" TargetMode="External"/><Relationship Id="rId15" Type="http://schemas.openxmlformats.org/officeDocument/2006/relationships/hyperlink" Target="https://paperpile.com/c/obXtxH/KUnZ+dw5e+Ifd9+hB2s" TargetMode="External"/><Relationship Id="rId59" Type="http://schemas.openxmlformats.org/officeDocument/2006/relationships/hyperlink" Target="http://paperpile.com/b/obXtxH/NmHm" TargetMode="External"/><Relationship Id="rId14" Type="http://schemas.openxmlformats.org/officeDocument/2006/relationships/hyperlink" Target="https://paperpile.com/c/obXtxH/KUnZ+dw5e+Ifd9" TargetMode="External"/><Relationship Id="rId58" Type="http://schemas.openxmlformats.org/officeDocument/2006/relationships/hyperlink" Target="http://paperpile.com/b/obXtxH/NmHm" TargetMode="External"/><Relationship Id="rId17" Type="http://schemas.openxmlformats.org/officeDocument/2006/relationships/hyperlink" Target="https://paperpile.com/c/obXtxH/HfIr" TargetMode="External"/><Relationship Id="rId16" Type="http://schemas.openxmlformats.org/officeDocument/2006/relationships/hyperlink" Target="https://paperpile.com/c/obXtxH/NmHm" TargetMode="External"/><Relationship Id="rId19" Type="http://schemas.openxmlformats.org/officeDocument/2006/relationships/hyperlink" Target="http://paperpile.com/b/obXtxH/KUnZ" TargetMode="External"/><Relationship Id="rId18" Type="http://schemas.openxmlformats.org/officeDocument/2006/relationships/hyperlink" Target="http://paperpile.com/b/obXtxH/KU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