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Improving Stability in Vitamin D Deficiency Prediction: A Comparative Study of Decision Tree and Random Forest Regression based on Lower Gini Impurity</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 Thejesh Reddy¹ , Dr. Uma Priyadarsini P S²</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Thejesh Reddy¹</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thejeshreddyk1102.sse@saveetha.com</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Uma Priyadarsini P S²</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Guide,Corresponding Author,</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Deep Learning,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11">
      <w:pPr>
        <w:spacing w:after="240" w:before="240"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umapriyadarsini@saveetha.com</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Decision Tree, Feature Importance, RMSE, Predictive Modeling.</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aim of this study is to investigate and compare the effectiveness of Vitamin D deficiency prediction using </w:t>
      </w:r>
      <w:r w:rsidDel="00000000" w:rsidR="00000000" w:rsidRPr="00000000">
        <w:rPr>
          <w:rFonts w:ascii="Times New Roman" w:cs="Times New Roman" w:eastAsia="Times New Roman" w:hAnsi="Times New Roman"/>
          <w:b w:val="1"/>
          <w:sz w:val="24"/>
          <w:szCs w:val="24"/>
          <w:rtl w:val="0"/>
        </w:rPr>
        <w:t xml:space="preserve">Decision Tree (DT)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Random Forest Regression (RF)</w:t>
      </w:r>
      <w:r w:rsidDel="00000000" w:rsidR="00000000" w:rsidRPr="00000000">
        <w:rPr>
          <w:rFonts w:ascii="Times New Roman" w:cs="Times New Roman" w:eastAsia="Times New Roman" w:hAnsi="Times New Roman"/>
          <w:sz w:val="24"/>
          <w:szCs w:val="24"/>
          <w:rtl w:val="0"/>
        </w:rPr>
        <w:t xml:space="preserve">, focusing on improving prediction stability based on lower </w:t>
      </w:r>
      <w:r w:rsidDel="00000000" w:rsidR="00000000" w:rsidRPr="00000000">
        <w:rPr>
          <w:rFonts w:ascii="Times New Roman" w:cs="Times New Roman" w:eastAsia="Times New Roman" w:hAnsi="Times New Roman"/>
          <w:b w:val="1"/>
          <w:sz w:val="24"/>
          <w:szCs w:val="24"/>
          <w:rtl w:val="0"/>
        </w:rPr>
        <w:t xml:space="preserve">Gini Impurity</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b w:val="0"/>
            <w:color w:val="000000"/>
            <w:sz w:val="24"/>
            <w:szCs w:val="24"/>
            <w:u w:val="none"/>
            <w:rtl w:val="0"/>
          </w:rPr>
          <w:t xml:space="preserve">(Erdenetsetseg et al. 2025)</w:t>
        </w:r>
      </w:hyperlink>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This study evaluates and compares the performance of DT and RF for predicting Vitamin D deficiency using a comprehensive dataset containing various clinical and demographic factors. The dataset includes features such as age, BMI, sunlight exposure, dietary vitamin D intake, and other relevant health indicators. Feature engineering techniques were applied to enhance predictive performance. A sample size of 80 for each group was determined using </w:t>
      </w:r>
      <w:r w:rsidDel="00000000" w:rsidR="00000000" w:rsidRPr="00000000">
        <w:rPr>
          <w:rFonts w:ascii="Times New Roman" w:cs="Times New Roman" w:eastAsia="Times New Roman" w:hAnsi="Times New Roman"/>
          <w:b w:val="1"/>
          <w:sz w:val="24"/>
          <w:szCs w:val="24"/>
          <w:rtl w:val="0"/>
        </w:rPr>
        <w:t xml:space="preserve">G*Power (0.80)</w:t>
      </w:r>
      <w:r w:rsidDel="00000000" w:rsidR="00000000" w:rsidRPr="00000000">
        <w:rPr>
          <w:rFonts w:ascii="Times New Roman" w:cs="Times New Roman" w:eastAsia="Times New Roman" w:hAnsi="Times New Roman"/>
          <w:sz w:val="24"/>
          <w:szCs w:val="24"/>
          <w:rtl w:val="0"/>
        </w:rPr>
        <w:t xml:space="preserve"> for 10 iterations per group. Both models were implemented and evaluated using Python's </w:t>
      </w:r>
      <w:r w:rsidDel="00000000" w:rsidR="00000000" w:rsidRPr="00000000">
        <w:rPr>
          <w:rFonts w:ascii="Times New Roman" w:cs="Times New Roman" w:eastAsia="Times New Roman" w:hAnsi="Times New Roman"/>
          <w:b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library, with </w:t>
      </w:r>
      <w:r w:rsidDel="00000000" w:rsidR="00000000" w:rsidRPr="00000000">
        <w:rPr>
          <w:rFonts w:ascii="Times New Roman" w:cs="Times New Roman" w:eastAsia="Times New Roman" w:hAnsi="Times New Roman"/>
          <w:b w:val="1"/>
          <w:sz w:val="24"/>
          <w:szCs w:val="24"/>
          <w:rtl w:val="0"/>
        </w:rPr>
        <w:t xml:space="preserve">Gini Impurity</w:t>
      </w:r>
      <w:r w:rsidDel="00000000" w:rsidR="00000000" w:rsidRPr="00000000">
        <w:rPr>
          <w:rFonts w:ascii="Times New Roman" w:cs="Times New Roman" w:eastAsia="Times New Roman" w:hAnsi="Times New Roman"/>
          <w:sz w:val="24"/>
          <w:szCs w:val="24"/>
          <w:rtl w:val="0"/>
        </w:rPr>
        <w:t xml:space="preserve"> as the primary performance criterion for assessing classification stability and accuracy as the main evaluation metric. </w:t>
      </w:r>
      <w:hyperlink r:id="rId7">
        <w:r w:rsidDel="00000000" w:rsidR="00000000" w:rsidRPr="00000000">
          <w:rPr>
            <w:rFonts w:ascii="Times New Roman" w:cs="Times New Roman" w:eastAsia="Times New Roman" w:hAnsi="Times New Roman"/>
            <w:b w:val="0"/>
            <w:color w:val="000000"/>
            <w:sz w:val="24"/>
            <w:szCs w:val="24"/>
            <w:u w:val="none"/>
            <w:rtl w:val="0"/>
          </w:rPr>
          <w:t xml:space="preserve">(Erdenetsetseg et al. 2025; Feng et al. 2025)</w:t>
        </w:r>
      </w:hyperlink>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Based on the obtained results, </w:t>
      </w:r>
      <w:r w:rsidDel="00000000" w:rsidR="00000000" w:rsidRPr="00000000">
        <w:rPr>
          <w:rFonts w:ascii="Times New Roman" w:cs="Times New Roman" w:eastAsia="Times New Roman" w:hAnsi="Times New Roman"/>
          <w:b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achieved a higher accuracy of </w:t>
      </w:r>
      <w:r w:rsidDel="00000000" w:rsidR="00000000" w:rsidRPr="00000000">
        <w:rPr>
          <w:rFonts w:ascii="Times New Roman" w:cs="Times New Roman" w:eastAsia="Times New Roman" w:hAnsi="Times New Roman"/>
          <w:b w:val="1"/>
          <w:sz w:val="24"/>
          <w:szCs w:val="24"/>
          <w:rtl w:val="0"/>
        </w:rPr>
        <w:t xml:space="preserve">96.09%</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b w:val="1"/>
          <w:sz w:val="24"/>
          <w:szCs w:val="24"/>
          <w:rtl w:val="0"/>
        </w:rPr>
        <w:t xml:space="preserve">93.60%</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sz w:val="24"/>
          <w:szCs w:val="24"/>
          <w:rtl w:val="0"/>
        </w:rPr>
        <w:t xml:space="preserve">Random Forest Regression</w:t>
      </w:r>
      <w:r w:rsidDel="00000000" w:rsidR="00000000" w:rsidRPr="00000000">
        <w:rPr>
          <w:rFonts w:ascii="Times New Roman" w:cs="Times New Roman" w:eastAsia="Times New Roman" w:hAnsi="Times New Roman"/>
          <w:sz w:val="24"/>
          <w:szCs w:val="24"/>
          <w:rtl w:val="0"/>
        </w:rPr>
        <w:t xml:space="preserve">, indicating better predictive stability in this context. Statistical analysis revealed a significant difference in performance, with a p-value of </w:t>
      </w:r>
      <w:r w:rsidDel="00000000" w:rsidR="00000000" w:rsidRPr="00000000">
        <w:rPr>
          <w:rFonts w:ascii="Times New Roman" w:cs="Times New Roman" w:eastAsia="Times New Roman" w:hAnsi="Times New Roman"/>
          <w:b w:val="1"/>
          <w:sz w:val="24"/>
          <w:szCs w:val="24"/>
          <w:rtl w:val="0"/>
        </w:rPr>
        <w:t xml:space="preserve">p = 0.037 (p &lt; 0.05)</w:t>
      </w:r>
      <w:r w:rsidDel="00000000" w:rsidR="00000000" w:rsidRPr="00000000">
        <w:rPr>
          <w:rFonts w:ascii="Times New Roman" w:cs="Times New Roman" w:eastAsia="Times New Roman" w:hAnsi="Times New Roman"/>
          <w:sz w:val="24"/>
          <w:szCs w:val="24"/>
          <w:rtl w:val="0"/>
        </w:rPr>
        <w:t xml:space="preserve">. Feature importance analysis showed that sunlight exposure and dietary vitamin D intake were the most influential predictors of Vitamin D deficiency, followed by BMI and age.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This study demonstrates that Decision Tree outperforms Random Forest Regression in Vitamin D deficiency prediction when evaluated on stability and Gini Impurity. With its higher accuracy and strong interpretability, Decision Tree offers a reliable and computationally efficient approach for early detection and intervention planning.</w:t>
      </w:r>
      <w:hyperlink r:id="rId8">
        <w:r w:rsidDel="00000000" w:rsidR="00000000" w:rsidRPr="00000000">
          <w:rPr>
            <w:rFonts w:ascii="Times New Roman" w:cs="Times New Roman" w:eastAsia="Times New Roman" w:hAnsi="Times New Roman"/>
            <w:b w:val="0"/>
            <w:color w:val="000000"/>
            <w:sz w:val="24"/>
            <w:szCs w:val="24"/>
            <w:u w:val="none"/>
            <w:rtl w:val="0"/>
          </w:rPr>
          <w:t xml:space="preserve">(Jaramillo et al. 2025)</w:t>
        </w:r>
      </w:hyperlink>
      <w:r w:rsidDel="00000000" w:rsidR="00000000" w:rsidRPr="00000000">
        <w:rPr>
          <w:rFonts w:ascii="Times New Roman" w:cs="Times New Roman" w:eastAsia="Times New Roman" w:hAnsi="Times New Roman"/>
          <w:sz w:val="24"/>
          <w:szCs w:val="24"/>
          <w:rtl w:val="0"/>
        </w:rPr>
        <w:t xml:space="preserve"> However, Random Forest still provides competitive performance with better robustness against overfitting, making it a valuable alternative in larger or more complex datasets.</w:t>
      </w:r>
    </w:p>
    <w:p w:rsidR="00000000" w:rsidDel="00000000" w:rsidP="00000000" w:rsidRDefault="00000000" w:rsidRPr="00000000" w14:paraId="0000001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Decision Tree, Feature Importance, RMSE, Predictive Modeling.</w:t>
      </w:r>
    </w:p>
    <w:p w:rsidR="00000000" w:rsidDel="00000000" w:rsidP="00000000" w:rsidRDefault="00000000" w:rsidRPr="00000000" w14:paraId="00000018">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sg66t3fwhjcn" w:id="0"/>
      <w:bookmarkEnd w:id="0"/>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Predicting vitamin D deficiency is crucial for early detection, prevention, and the development of targeted medical interventions. Accurate prediction helps reduce the prevalence of related health issues, improve public health outcomes, and identify individuals at risk. In recent years, leveraging machine learning models has emerged as an effective strategy for generating more reliable and precise forecasts. This study aims to predict vitamin D deficiency levels using two prominent tree-based methods: Decision Tree (DT) and Random Forest Regression (RF). The primary objective is to assess and compare their prediction stability based on lower Gini Impurity while also evaluating accuracy.</w:t>
      </w:r>
      <w:hyperlink r:id="rId9">
        <w:r w:rsidDel="00000000" w:rsidR="00000000" w:rsidRPr="00000000">
          <w:rPr>
            <w:rFonts w:ascii="Times New Roman" w:cs="Times New Roman" w:eastAsia="Times New Roman" w:hAnsi="Times New Roman"/>
            <w:b w:val="0"/>
            <w:color w:val="000000"/>
            <w:sz w:val="24"/>
            <w:szCs w:val="24"/>
            <w:highlight w:val="white"/>
            <w:u w:val="none"/>
            <w:rtl w:val="0"/>
          </w:rPr>
          <w:t xml:space="preserve">(Mikula, Unseld, and Heppner 2025)</w:t>
        </w:r>
      </w:hyperlink>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 Decision Tree is a simple yet powerful model that partitions data into subsets based on feature thresholds, providing high interpretability and clear decision rules. In this study, the DT achieved an accuracy of 96.09%, demonstrating its ability to deliver both stable and accurate predictions. Random Forest Regression, on the other hand, is an ensemble approach that builds multiple decision trees and averages their outputs, aiming to reduce overfitting and improve generalization. It achieved a competitive accuracy of 93.60%, showing strong performance while maintaining robustness against noisy data.</w:t>
      </w:r>
      <w:hyperlink r:id="rId10">
        <w:r w:rsidDel="00000000" w:rsidR="00000000" w:rsidRPr="00000000">
          <w:rPr>
            <w:rFonts w:ascii="Times New Roman" w:cs="Times New Roman" w:eastAsia="Times New Roman" w:hAnsi="Times New Roman"/>
            <w:b w:val="0"/>
            <w:color w:val="000000"/>
            <w:sz w:val="24"/>
            <w:szCs w:val="24"/>
            <w:highlight w:val="white"/>
            <w:u w:val="none"/>
            <w:rtl w:val="0"/>
          </w:rPr>
          <w:t xml:space="preserve">(Mikula, Unseld, and Heppner 2025; Liu et al. 2025)</w:t>
        </w:r>
      </w:hyperlink>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motivation behind this research lies in improving prediction stability and interpretability while maintaining high accuracy for health-related assessments. By comparing these two approaches, the study provides insights into how single-tree models and bagging-based ensembles differ in their handling of Gini Impurity and their ability to identify important features. Feature importance analysis revealed that sunlight exposure and dietary vitamin D intake were the most influential predictors, followed by BMI and age.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Beyond model comparison, this work has practical implications for public health policy, nutritional guidelines, and personalized medical advice. By ranking the most significant environmental, lifestyle, and health factors contributing to vitamin D deficiency, the study establishes a data-driven foundation for early intervention and prevention strategies. The findings demonstrate that while Random Forest offers robust generalization, a well-optimized Decision Tree can outperform it in both accuracy and stability when evaluated using lower Gini Impurity, making it a strong choice for predictive healthcare applications.</w: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j8vrpvnzirk" w:id="1"/>
      <w:bookmarkEnd w:id="1"/>
      <w:r w:rsidDel="00000000" w:rsidR="00000000" w:rsidRPr="00000000">
        <w:rPr>
          <w:rFonts w:ascii="Times New Roman" w:cs="Times New Roman" w:eastAsia="Times New Roman" w:hAnsi="Times New Roman"/>
          <w:b w:val="1"/>
          <w:sz w:val="24"/>
          <w:szCs w:val="24"/>
          <w:rtl w:val="0"/>
        </w:rPr>
        <w:t xml:space="preserve">MATERIALS AND METHODOLOGIES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experiments were carried out in SSE's Machine Learning Lab. The open-access Kaggle dataset used in this study contained environmental, lifestyle, and health-related variables that influence vitamin D levels. ClinCalc software was employed to determine the required sample sizes. Based on performance relevance, two models—</w:t>
      </w:r>
      <w:r w:rsidDel="00000000" w:rsidR="00000000" w:rsidRPr="00000000">
        <w:rPr>
          <w:rFonts w:ascii="Times New Roman" w:cs="Times New Roman" w:eastAsia="Times New Roman" w:hAnsi="Times New Roman"/>
          <w:b w:val="1"/>
          <w:sz w:val="24"/>
          <w:szCs w:val="24"/>
          <w:rtl w:val="0"/>
        </w:rPr>
        <w:t xml:space="preserve">Decision Tree Regression (Group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Random Forest Regression (Group 2)</w:t>
      </w:r>
      <w:r w:rsidDel="00000000" w:rsidR="00000000" w:rsidRPr="00000000">
        <w:rPr>
          <w:rFonts w:ascii="Times New Roman" w:cs="Times New Roman" w:eastAsia="Times New Roman" w:hAnsi="Times New Roman"/>
          <w:sz w:val="24"/>
          <w:szCs w:val="24"/>
          <w:rtl w:val="0"/>
        </w:rPr>
        <w:t xml:space="preserve">—were selected for comparative analysis. A total of 200 samples were used for testing, while 1900 samples were used for training (Du et al., 2023). The dataset was split into </w:t>
      </w:r>
      <w:r w:rsidDel="00000000" w:rsidR="00000000" w:rsidRPr="00000000">
        <w:rPr>
          <w:rFonts w:ascii="Times New Roman" w:cs="Times New Roman" w:eastAsia="Times New Roman" w:hAnsi="Times New Roman"/>
          <w:b w:val="1"/>
          <w:sz w:val="24"/>
          <w:szCs w:val="24"/>
          <w:rtl w:val="0"/>
        </w:rPr>
        <w:t xml:space="preserve">80% training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20% testing and validation</w:t>
      </w:r>
      <w:r w:rsidDel="00000000" w:rsidR="00000000" w:rsidRPr="00000000">
        <w:rPr>
          <w:rFonts w:ascii="Times New Roman" w:cs="Times New Roman" w:eastAsia="Times New Roman" w:hAnsi="Times New Roman"/>
          <w:sz w:val="24"/>
          <w:szCs w:val="24"/>
          <w:rtl w:val="0"/>
        </w:rPr>
        <w:t xml:space="preserve"> to ensure consistent performance evaluation. ClinCalc parameters were configured for statistical significance with </w:t>
      </w:r>
      <w:r w:rsidDel="00000000" w:rsidR="00000000" w:rsidRPr="00000000">
        <w:rPr>
          <w:rFonts w:ascii="Times New Roman" w:cs="Times New Roman" w:eastAsia="Times New Roman" w:hAnsi="Times New Roman"/>
          <w:b w:val="1"/>
          <w:sz w:val="24"/>
          <w:szCs w:val="24"/>
          <w:rtl w:val="0"/>
        </w:rPr>
        <w:t xml:space="preserve">power = 80%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α = 0.05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iteration N = 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3mzt9g0ufut" w:id="2"/>
      <w:bookmarkEnd w:id="2"/>
      <w:r w:rsidDel="00000000" w:rsidR="00000000" w:rsidRPr="00000000">
        <w:rPr>
          <w:rFonts w:ascii="Times New Roman" w:cs="Times New Roman" w:eastAsia="Times New Roman" w:hAnsi="Times New Roman"/>
          <w:b w:val="1"/>
          <w:color w:val="000000"/>
          <w:sz w:val="26"/>
          <w:szCs w:val="26"/>
          <w:rtl w:val="0"/>
        </w:rPr>
        <w:t xml:space="preserve">Decision Tree Regression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Regression is a supervised learning algorithm that predicts a target value by learning simple decision rules from the data features (Quinlan, 1986). The model works by recursively splitting the dataset into subsets based on the feature that minimizes impurity—in this study, </w:t>
      </w:r>
      <w:r w:rsidDel="00000000" w:rsidR="00000000" w:rsidRPr="00000000">
        <w:rPr>
          <w:rFonts w:ascii="Times New Roman" w:cs="Times New Roman" w:eastAsia="Times New Roman" w:hAnsi="Times New Roman"/>
          <w:b w:val="1"/>
          <w:sz w:val="24"/>
          <w:szCs w:val="24"/>
          <w:rtl w:val="0"/>
        </w:rPr>
        <w:t xml:space="preserve">Gini impurity</w:t>
      </w:r>
      <w:r w:rsidDel="00000000" w:rsidR="00000000" w:rsidRPr="00000000">
        <w:rPr>
          <w:rFonts w:ascii="Times New Roman" w:cs="Times New Roman" w:eastAsia="Times New Roman" w:hAnsi="Times New Roman"/>
          <w:sz w:val="24"/>
          <w:szCs w:val="24"/>
          <w:rtl w:val="0"/>
        </w:rPr>
        <w:t xml:space="preserve"> was used as the splitting criterion. The algorithm builds a tree structure where each internal node represents a decision based on a feature, each branch represents the outcome of that decision, and each leaf node holds a predicted value. Decision Trees are easy to interpret and computationally efficient, making them suitable for initial model comparisons. In our study, the Decision Tree achieved an accuracy of </w:t>
      </w:r>
      <w:r w:rsidDel="00000000" w:rsidR="00000000" w:rsidRPr="00000000">
        <w:rPr>
          <w:rFonts w:ascii="Times New Roman" w:cs="Times New Roman" w:eastAsia="Times New Roman" w:hAnsi="Times New Roman"/>
          <w:b w:val="1"/>
          <w:sz w:val="24"/>
          <w:szCs w:val="24"/>
          <w:rtl w:val="0"/>
        </w:rPr>
        <w:t xml:space="preserve">96.09%</w:t>
      </w:r>
      <w:r w:rsidDel="00000000" w:rsidR="00000000" w:rsidRPr="00000000">
        <w:rPr>
          <w:rFonts w:ascii="Times New Roman" w:cs="Times New Roman" w:eastAsia="Times New Roman" w:hAnsi="Times New Roman"/>
          <w:sz w:val="24"/>
          <w:szCs w:val="24"/>
          <w:rtl w:val="0"/>
        </w:rPr>
        <w:t xml:space="preserve">, indicating strong predictive capability for vitamin D deficiency.</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 for Decision Tree Regression</w:t>
        <w:br w:type="textWrapping"/>
      </w:r>
      <w:r w:rsidDel="00000000" w:rsidR="00000000" w:rsidRPr="00000000">
        <w:rPr>
          <w:rFonts w:ascii="Times New Roman" w:cs="Times New Roman" w:eastAsia="Times New Roman" w:hAnsi="Times New Roman"/>
          <w:sz w:val="24"/>
          <w:szCs w:val="24"/>
          <w:rtl w:val="0"/>
        </w:rPr>
        <w:t xml:space="preserve"> Input: Training and testing data</w:t>
        <w:br w:type="textWrapping"/>
        <w:t xml:space="preserve"> Output: Accuracy score and feature importance rankings</w:t>
      </w:r>
    </w:p>
    <w:p w:rsidR="00000000" w:rsidDel="00000000" w:rsidP="00000000" w:rsidRDefault="00000000" w:rsidRPr="00000000" w14:paraId="0000002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 </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Decision Tree Regressor with desired number of trees </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on the training data</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RMSE for evaluation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Extract and rank feature importance</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bj6nalesk18" w:id="3"/>
      <w:bookmarkEnd w:id="3"/>
      <w:r w:rsidDel="00000000" w:rsidR="00000000" w:rsidRPr="00000000">
        <w:rPr>
          <w:rFonts w:ascii="Times New Roman" w:cs="Times New Roman" w:eastAsia="Times New Roman" w:hAnsi="Times New Roman"/>
          <w:b w:val="1"/>
          <w:color w:val="000000"/>
          <w:sz w:val="26"/>
          <w:szCs w:val="26"/>
          <w:rtl w:val="0"/>
        </w:rPr>
        <w:t xml:space="preserve">Random Forest Regression</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Regression is an ensemble learning technique that constructs multiple decision trees during training and outputs the average prediction from all trees (Breiman, 2001). Using the </w:t>
      </w:r>
      <w:r w:rsidDel="00000000" w:rsidR="00000000" w:rsidRPr="00000000">
        <w:rPr>
          <w:rFonts w:ascii="Times New Roman" w:cs="Times New Roman" w:eastAsia="Times New Roman" w:hAnsi="Times New Roman"/>
          <w:b w:val="1"/>
          <w:sz w:val="24"/>
          <w:szCs w:val="24"/>
          <w:rtl w:val="0"/>
        </w:rPr>
        <w:t xml:space="preserve">bagging</w:t>
      </w:r>
      <w:r w:rsidDel="00000000" w:rsidR="00000000" w:rsidRPr="00000000">
        <w:rPr>
          <w:rFonts w:ascii="Times New Roman" w:cs="Times New Roman" w:eastAsia="Times New Roman" w:hAnsi="Times New Roman"/>
          <w:sz w:val="24"/>
          <w:szCs w:val="24"/>
          <w:rtl w:val="0"/>
        </w:rPr>
        <w:t xml:space="preserve"> approach (bootstrap aggregating), each decision tree is trained on a random subset of the dataset with replacement, while each split considers only a random subset of features. This helps reduce variance, improve generalization, and mitigate overfitting. Like Decision Trees, Random Forest also used </w:t>
      </w:r>
      <w:r w:rsidDel="00000000" w:rsidR="00000000" w:rsidRPr="00000000">
        <w:rPr>
          <w:rFonts w:ascii="Times New Roman" w:cs="Times New Roman" w:eastAsia="Times New Roman" w:hAnsi="Times New Roman"/>
          <w:b w:val="1"/>
          <w:sz w:val="24"/>
          <w:szCs w:val="24"/>
          <w:rtl w:val="0"/>
        </w:rPr>
        <w:t xml:space="preserve">Gini impurity</w:t>
      </w:r>
      <w:r w:rsidDel="00000000" w:rsidR="00000000" w:rsidRPr="00000000">
        <w:rPr>
          <w:rFonts w:ascii="Times New Roman" w:cs="Times New Roman" w:eastAsia="Times New Roman" w:hAnsi="Times New Roman"/>
          <w:sz w:val="24"/>
          <w:szCs w:val="24"/>
          <w:rtl w:val="0"/>
        </w:rPr>
        <w:t xml:space="preserve"> in this study to determine the quality of splits. The model demonstrated an accuracy of </w:t>
      </w:r>
      <w:r w:rsidDel="00000000" w:rsidR="00000000" w:rsidRPr="00000000">
        <w:rPr>
          <w:rFonts w:ascii="Times New Roman" w:cs="Times New Roman" w:eastAsia="Times New Roman" w:hAnsi="Times New Roman"/>
          <w:b w:val="1"/>
          <w:sz w:val="24"/>
          <w:szCs w:val="24"/>
          <w:rtl w:val="0"/>
        </w:rPr>
        <w:t xml:space="preserve">93.6%</w:t>
      </w:r>
      <w:r w:rsidDel="00000000" w:rsidR="00000000" w:rsidRPr="00000000">
        <w:rPr>
          <w:rFonts w:ascii="Times New Roman" w:cs="Times New Roman" w:eastAsia="Times New Roman" w:hAnsi="Times New Roman"/>
          <w:sz w:val="24"/>
          <w:szCs w:val="24"/>
          <w:rtl w:val="0"/>
        </w:rPr>
        <w:t xml:space="preserve">, making it slightly less accurate than the Decision Tree but more stable across multiple iterations due to its ensemble nature.</w:t>
      </w:r>
    </w:p>
    <w:p w:rsidR="00000000" w:rsidDel="00000000" w:rsidP="00000000" w:rsidRDefault="00000000" w:rsidRPr="00000000" w14:paraId="0000002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 Code for Random Forest Regression</w:t>
        <w:br w:type="textWrapping"/>
      </w:r>
      <w:r w:rsidDel="00000000" w:rsidR="00000000" w:rsidRPr="00000000">
        <w:rPr>
          <w:rFonts w:ascii="Times New Roman" w:cs="Times New Roman" w:eastAsia="Times New Roman" w:hAnsi="Times New Roman"/>
          <w:sz w:val="24"/>
          <w:szCs w:val="24"/>
          <w:rtl w:val="0"/>
        </w:rPr>
        <w:t xml:space="preserve"> Input: Training and testing data</w:t>
        <w:br w:type="textWrapping"/>
        <w:t xml:space="preserve"> Output: Accuracy score and feature importance rankings</w:t>
      </w: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Random Forest Regressor with optimal hyperparameters </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using gradient boosting on training data</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6:Calculate RMSE for evaluation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7:Extract and rank feature importance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were executed using </w:t>
      </w:r>
      <w:r w:rsidDel="00000000" w:rsidR="00000000" w:rsidRPr="00000000">
        <w:rPr>
          <w:rFonts w:ascii="Times New Roman" w:cs="Times New Roman" w:eastAsia="Times New Roman" w:hAnsi="Times New Roman"/>
          <w:b w:val="1"/>
          <w:sz w:val="24"/>
          <w:szCs w:val="24"/>
          <w:rtl w:val="0"/>
        </w:rPr>
        <w:t xml:space="preserve">Google Colab</w:t>
      </w:r>
      <w:r w:rsidDel="00000000" w:rsidR="00000000" w:rsidRPr="00000000">
        <w:rPr>
          <w:rFonts w:ascii="Times New Roman" w:cs="Times New Roman" w:eastAsia="Times New Roman" w:hAnsi="Times New Roman"/>
          <w:sz w:val="24"/>
          <w:szCs w:val="24"/>
          <w:rtl w:val="0"/>
        </w:rPr>
        <w:t xml:space="preserve"> for model training and evaluation, and further tested on a </w:t>
      </w:r>
      <w:r w:rsidDel="00000000" w:rsidR="00000000" w:rsidRPr="00000000">
        <w:rPr>
          <w:rFonts w:ascii="Times New Roman" w:cs="Times New Roman" w:eastAsia="Times New Roman" w:hAnsi="Times New Roman"/>
          <w:b w:val="1"/>
          <w:sz w:val="24"/>
          <w:szCs w:val="24"/>
          <w:rtl w:val="0"/>
        </w:rPr>
        <w:t xml:space="preserve">Windows 11</w:t>
      </w:r>
      <w:r w:rsidDel="00000000" w:rsidR="00000000" w:rsidRPr="00000000">
        <w:rPr>
          <w:rFonts w:ascii="Times New Roman" w:cs="Times New Roman" w:eastAsia="Times New Roman" w:hAnsi="Times New Roman"/>
          <w:sz w:val="24"/>
          <w:szCs w:val="24"/>
          <w:rtl w:val="0"/>
        </w:rPr>
        <w:t xml:space="preserve"> machine with a </w:t>
      </w:r>
      <w:r w:rsidDel="00000000" w:rsidR="00000000" w:rsidRPr="00000000">
        <w:rPr>
          <w:rFonts w:ascii="Times New Roman" w:cs="Times New Roman" w:eastAsia="Times New Roman" w:hAnsi="Times New Roman"/>
          <w:b w:val="1"/>
          <w:sz w:val="24"/>
          <w:szCs w:val="24"/>
          <w:rtl w:val="0"/>
        </w:rPr>
        <w:t xml:space="preserve">64-bit processor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 GB RAM</w:t>
      </w:r>
      <w:r w:rsidDel="00000000" w:rsidR="00000000" w:rsidRPr="00000000">
        <w:rPr>
          <w:rFonts w:ascii="Times New Roman" w:cs="Times New Roman" w:eastAsia="Times New Roman" w:hAnsi="Times New Roman"/>
          <w:sz w:val="24"/>
          <w:szCs w:val="24"/>
          <w:rtl w:val="0"/>
        </w:rPr>
        <w:t xml:space="preserve">, and optional cloud-based GPU acceleration. Model development was done in </w:t>
      </w:r>
      <w:r w:rsidDel="00000000" w:rsidR="00000000" w:rsidRPr="00000000">
        <w:rPr>
          <w:rFonts w:ascii="Times New Roman" w:cs="Times New Roman" w:eastAsia="Times New Roman" w:hAnsi="Times New Roman"/>
          <w:b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for both Decision Tree and Random Forest Regression. Additional libraries such as </w:t>
      </w: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were used for data preprocessing, visualization, and performance analysis.</w:t>
      </w:r>
    </w:p>
    <w:p w:rsidR="00000000" w:rsidDel="00000000" w:rsidP="00000000" w:rsidRDefault="00000000" w:rsidRPr="00000000" w14:paraId="0000003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SPSS version 26 was used to conduct the statistical analysis for this investigation. Descriptive statistics, such as mean, standard deviation, and range for vitamin D levels and related predictors, were calculated for each feature in the dataset using SPSS. To evaluate the variations in prediction performance between the Decision Tree (DT) and Random Forest Regression (RF) models, group comparisons were conducted. To gauge model accuracy, important evaluation metrics including coefficient of determination (R²) and root mean squared error (RMSE) were computed. Additionally, the most significant predictors of vitamin D deficiency were determined by extracting feature importance values from both models using Gini Impurity as the splitting criterion. Statistical significance testing was performed at α = 0.05 to determine if the two models’ performance differences were significant.</w:t>
      </w:r>
    </w:p>
    <w:p w:rsidR="00000000" w:rsidDel="00000000" w:rsidP="00000000" w:rsidRDefault="00000000" w:rsidRPr="00000000" w14:paraId="00000037">
      <w:pPr>
        <w:pStyle w:val="Heading1"/>
        <w:keepNext w:val="0"/>
        <w:keepLines w:val="0"/>
        <w:spacing w:after="200" w:before="200" w:lineRule="auto"/>
        <w:jc w:val="both"/>
        <w:rPr>
          <w:rFonts w:ascii="Times New Roman" w:cs="Times New Roman" w:eastAsia="Times New Roman" w:hAnsi="Times New Roman"/>
          <w:b w:val="1"/>
          <w:sz w:val="24"/>
          <w:szCs w:val="24"/>
        </w:rPr>
      </w:pPr>
      <w:bookmarkStart w:colFirst="0" w:colLast="0" w:name="_xhhbx2s4ieh8" w:id="4"/>
      <w:bookmarkEnd w:id="4"/>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4"/>
          <w:szCs w:val="24"/>
          <w:rtl w:val="0"/>
        </w:rPr>
        <w:t xml:space="preserve">The usefulness of Decision Tree and Random Forest Regression algorithms in predicting vitamin D deficiency was assessed through comparison and performance analysis. To improve prediction stability and enhance feature importance analysis, both models were trained and evaluated on the same dataset. The outcomes of processing 2,100 samples with the two methods are shown in Table 1. The mean accuracy for the Random Forest model was 93.60%, whereas the Decision Tree achieved a higher mean accuracy of 96.09%. </w:t>
      </w:r>
      <w:hyperlink r:id="rId11">
        <w:r w:rsidDel="00000000" w:rsidR="00000000" w:rsidRPr="00000000">
          <w:rPr>
            <w:rFonts w:ascii="Times New Roman" w:cs="Times New Roman" w:eastAsia="Times New Roman" w:hAnsi="Times New Roman"/>
            <w:b w:val="0"/>
            <w:color w:val="000000"/>
            <w:sz w:val="24"/>
            <w:szCs w:val="24"/>
            <w:u w:val="none"/>
            <w:rtl w:val="0"/>
          </w:rPr>
          <w:t xml:space="preserve">(Barbosa-Cortés et al. 2025)</w:t>
        </w:r>
      </w:hyperlink>
      <w:r w:rsidDel="00000000" w:rsidR="00000000" w:rsidRPr="00000000">
        <w:rPr>
          <w:rFonts w:ascii="Times New Roman" w:cs="Times New Roman" w:eastAsia="Times New Roman" w:hAnsi="Times New Roman"/>
          <w:sz w:val="24"/>
          <w:szCs w:val="24"/>
          <w:rtl w:val="0"/>
        </w:rPr>
        <w:t xml:space="preserve">Furthermore, the Decision Tree showed slightly better stability, reflected by its lower variation in accuracy scores, while still maintaining interpretability. These findings suggest that Decision Tree modeling, when optimized with lower Gini Impurity thresholds, can achieve both high accuracy and stable predictions in vitamin D deficiency analysis. Figure 1 visually compares the mean accuracies of the two models, where the x-axis represents the algorithms and the y-axis shows the average accuracy percentages. The figure clearly illustrates the Decision Tree’s advantage over Random Forest in this study.</w:t>
      </w:r>
      <w:hyperlink r:id="rId12">
        <w:r w:rsidDel="00000000" w:rsidR="00000000" w:rsidRPr="00000000">
          <w:rPr>
            <w:rFonts w:ascii="Times New Roman" w:cs="Times New Roman" w:eastAsia="Times New Roman" w:hAnsi="Times New Roman"/>
            <w:b w:val="0"/>
            <w:color w:val="000000"/>
            <w:sz w:val="24"/>
            <w:szCs w:val="24"/>
            <w:u w:val="none"/>
            <w:rtl w:val="0"/>
          </w:rPr>
          <w:t xml:space="preserve">(Hewison et al. 2017)</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Fonts w:ascii="Times New Roman" w:cs="Times New Roman" w:eastAsia="Times New Roman" w:hAnsi="Times New Roman"/>
          <w:b w:val="1"/>
          <w:sz w:val="24"/>
          <w:szCs w:val="24"/>
          <w:rtl w:val="0"/>
        </w:rPr>
        <w:t xml:space="preserve">DISCUSSION</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study was to compare the predictive performance of Decision Tree and Random Forest Regression in detecting vitamin D deficiency, with an emphasis on improving stability and interpretability through the use of lower Gini Impurity thresholds. Decision Tree achieved an accuracy of 96.09%, outperforming Random Forest’s 93.60%. While Random Forest, as a bagging-based method, typically reduces variance and improves generalization, in this case, the optimized Decision Tree delivered superior accuracy, likely due to fine-tuned splitting criteria and pruning strategies that prevented overfitting while preserving key decision boundaries. Feature importance analysis revealed that sunlight exposure, dietary vitamin D intake, and BMI were the most influential predictors, with Decision Tree assigning clearer priority rankings compared to the more evenly distributed importance scores from Random Forest.</w:t>
      </w:r>
      <w:hyperlink r:id="rId13">
        <w:r w:rsidDel="00000000" w:rsidR="00000000" w:rsidRPr="00000000">
          <w:rPr>
            <w:rFonts w:ascii="Times New Roman" w:cs="Times New Roman" w:eastAsia="Times New Roman" w:hAnsi="Times New Roman"/>
            <w:b w:val="0"/>
            <w:color w:val="000000"/>
            <w:sz w:val="24"/>
            <w:szCs w:val="24"/>
            <w:u w:val="none"/>
            <w:rtl w:val="0"/>
          </w:rPr>
          <w:t xml:space="preserve">(Hewison et al. 2017; Özdemir 2021)</w:t>
        </w:r>
      </w:hyperlink>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computational efficiency, Random Forest benefited from parallel tree training, making it faster to train; however, Decision Tree required less memory and offered greater transparency in prediction logic, which is valuable for healthcare applications. The improved stability of Decision Tree predictions can be attributed to lower Gini Impurity thresholds, which helped refine node splits and reduce variability between model iterations.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reasons why the two models' performances differ:</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Time:</w:t>
      </w:r>
      <w:r w:rsidDel="00000000" w:rsidR="00000000" w:rsidRPr="00000000">
        <w:rPr>
          <w:rFonts w:ascii="Times New Roman" w:cs="Times New Roman" w:eastAsia="Times New Roman" w:hAnsi="Times New Roman"/>
          <w:sz w:val="24"/>
          <w:szCs w:val="24"/>
          <w:rtl w:val="0"/>
        </w:rPr>
        <w:t xml:space="preserve"> Random Forest trained more quickly due to its parallel tree construction, while XGBoost needed a little more time because of its sequential tree creation and hyperparameter optimization.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Complexity:</w:t>
      </w:r>
      <w:r w:rsidDel="00000000" w:rsidR="00000000" w:rsidRPr="00000000">
        <w:rPr>
          <w:rFonts w:ascii="Times New Roman" w:cs="Times New Roman" w:eastAsia="Times New Roman" w:hAnsi="Times New Roman"/>
          <w:sz w:val="24"/>
          <w:szCs w:val="24"/>
          <w:rtl w:val="0"/>
        </w:rPr>
        <w:t xml:space="preserve"> XGBoost achieved improved accuracy with only slightly higher resource consumption thanks to optimizations like tree pruning and shrinkage, but Random Forest had a reduced computational overhead.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Dimensionality Handling: </w:t>
      </w:r>
      <w:r w:rsidDel="00000000" w:rsidR="00000000" w:rsidRPr="00000000">
        <w:rPr>
          <w:rFonts w:ascii="Times New Roman" w:cs="Times New Roman" w:eastAsia="Times New Roman" w:hAnsi="Times New Roman"/>
          <w:sz w:val="24"/>
          <w:szCs w:val="24"/>
          <w:rtl w:val="0"/>
        </w:rPr>
        <w:t xml:space="preserve">XGBoost's regularization parameters assisted in preventing overfitting in situations when features were linked, although both models performed well in handling high-dimensional health data.</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that an optimized Decision Tree model, using lower Gini Impurity thresholds, can outperform Random Forest Regression in vitamin D deficiency prediction in terms of both accuracy and stability.</w:t>
      </w:r>
      <w:hyperlink r:id="rId14">
        <w:r w:rsidDel="00000000" w:rsidR="00000000" w:rsidRPr="00000000">
          <w:rPr>
            <w:rFonts w:ascii="Times New Roman" w:cs="Times New Roman" w:eastAsia="Times New Roman" w:hAnsi="Times New Roman"/>
            <w:b w:val="0"/>
            <w:color w:val="000000"/>
            <w:sz w:val="24"/>
            <w:szCs w:val="24"/>
            <w:u w:val="none"/>
            <w:rtl w:val="0"/>
          </w:rPr>
          <w:t xml:space="preserve">(Fedotova 2020)</w:t>
        </w:r>
      </w:hyperlink>
      <w:r w:rsidDel="00000000" w:rsidR="00000000" w:rsidRPr="00000000">
        <w:rPr>
          <w:rFonts w:ascii="Times New Roman" w:cs="Times New Roman" w:eastAsia="Times New Roman" w:hAnsi="Times New Roman"/>
          <w:sz w:val="24"/>
          <w:szCs w:val="24"/>
          <w:rtl w:val="0"/>
        </w:rPr>
        <w:t xml:space="preserve"> With an accuracy of 96.09% compared to Random Forest’s 93.60%, the Decision Tree not only provided more precise predictions but also enhanced interpretability, making it suitable for healthcare decision-making. </w:t>
      </w:r>
      <w:hyperlink r:id="rId15">
        <w:r w:rsidDel="00000000" w:rsidR="00000000" w:rsidRPr="00000000">
          <w:rPr>
            <w:rFonts w:ascii="Times New Roman" w:cs="Times New Roman" w:eastAsia="Times New Roman" w:hAnsi="Times New Roman"/>
            <w:b w:val="0"/>
            <w:color w:val="000000"/>
            <w:sz w:val="24"/>
            <w:szCs w:val="24"/>
            <w:u w:val="none"/>
            <w:rtl w:val="0"/>
          </w:rPr>
          <w:t xml:space="preserve">(Fedotova 2020; Okamura et al. 2025)</w:t>
        </w:r>
      </w:hyperlink>
      <w:r w:rsidDel="00000000" w:rsidR="00000000" w:rsidRPr="00000000">
        <w:rPr>
          <w:rFonts w:ascii="Times New Roman" w:cs="Times New Roman" w:eastAsia="Times New Roman" w:hAnsi="Times New Roman"/>
          <w:sz w:val="24"/>
          <w:szCs w:val="24"/>
          <w:rtl w:val="0"/>
        </w:rPr>
        <w:t xml:space="preserve">These findings highlight the potential of carefully tuned single-tree models in medical predictive analytics, especially when transparency and stability are critical for practical application.</w:t>
      </w:r>
      <w:r w:rsidDel="00000000" w:rsidR="00000000" w:rsidRPr="00000000">
        <w:rPr>
          <w:rtl w:val="0"/>
        </w:rPr>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57">
      <w:pPr>
        <w:widowControl w:val="0"/>
        <w:numPr>
          <w:ilvl w:val="0"/>
          <w:numId w:val="1"/>
        </w:numPr>
        <w:spacing w:before="240" w:line="240" w:lineRule="auto"/>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Barbosa-Cortés, Lourdes, Sharon B. Morales-Montes, Michelle Maldonado-Alvarado, Jorge A. Martin-Trejo, Salvador Atilano-Miguel, Emmanuel Jiménez-Aguayo, Fabián I. Martínez-Becerril, et al. 2025. “Impact of Omega-3 and Vitamin D Supplementation on Bone Turnover Markers in Children with Leukemia: Follow-Up During and After Supplementation.” </w:t>
        </w:r>
      </w:hyperlink>
      <w:hyperlink r:id="rId17">
        <w:r w:rsidDel="00000000" w:rsidR="00000000" w:rsidRPr="00000000">
          <w:rPr>
            <w:rFonts w:ascii="Times New Roman" w:cs="Times New Roman" w:eastAsia="Times New Roman" w:hAnsi="Times New Roman"/>
            <w:i w:val="1"/>
            <w:sz w:val="24"/>
            <w:szCs w:val="24"/>
            <w:rtl w:val="0"/>
          </w:rPr>
          <w:t xml:space="preserve">Nutrients</w:t>
        </w:r>
      </w:hyperlink>
      <w:hyperlink r:id="rId18">
        <w:r w:rsidDel="00000000" w:rsidR="00000000" w:rsidRPr="00000000">
          <w:rPr>
            <w:rFonts w:ascii="Times New Roman" w:cs="Times New Roman" w:eastAsia="Times New Roman" w:hAnsi="Times New Roman"/>
            <w:sz w:val="24"/>
            <w:szCs w:val="24"/>
            <w:rtl w:val="0"/>
          </w:rPr>
          <w:t xml:space="preserve"> 17 (15). https://doi.org/</w:t>
        </w:r>
      </w:hyperlink>
      <w:hyperlink r:id="rId19">
        <w:r w:rsidDel="00000000" w:rsidR="00000000" w:rsidRPr="00000000">
          <w:rPr>
            <w:rFonts w:ascii="Times New Roman" w:cs="Times New Roman" w:eastAsia="Times New Roman" w:hAnsi="Times New Roman"/>
            <w:sz w:val="24"/>
            <w:szCs w:val="24"/>
            <w:rtl w:val="0"/>
          </w:rPr>
          <w:t xml:space="preserve">10.3390/nu17152526</w:t>
        </w:r>
      </w:hyperlink>
      <w:hyperlink r:id="rId2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8">
      <w:pPr>
        <w:widowControl w:val="0"/>
        <w:numPr>
          <w:ilvl w:val="0"/>
          <w:numId w:val="1"/>
        </w:numPr>
        <w:spacing w:line="240" w:lineRule="auto"/>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Erdenetsetseg, Enkhgerel, Hye Ran Shin, Sun Yung Ly, and Sujin Song. 2025. “Ten-Year Trends in Dietary Vitamin D Intake and Its Food Sources among Koreans: Based on the 2013-2022 Korea National Health and Nutrition Examination Survey Data.” </w:t>
        </w:r>
      </w:hyperlink>
      <w:hyperlink r:id="rId22">
        <w:r w:rsidDel="00000000" w:rsidR="00000000" w:rsidRPr="00000000">
          <w:rPr>
            <w:rFonts w:ascii="Times New Roman" w:cs="Times New Roman" w:eastAsia="Times New Roman" w:hAnsi="Times New Roman"/>
            <w:i w:val="1"/>
            <w:sz w:val="24"/>
            <w:szCs w:val="24"/>
            <w:rtl w:val="0"/>
          </w:rPr>
          <w:t xml:space="preserve">Nutrition Research and Practice</w:t>
        </w:r>
      </w:hyperlink>
      <w:hyperlink r:id="rId23">
        <w:r w:rsidDel="00000000" w:rsidR="00000000" w:rsidRPr="00000000">
          <w:rPr>
            <w:rFonts w:ascii="Times New Roman" w:cs="Times New Roman" w:eastAsia="Times New Roman" w:hAnsi="Times New Roman"/>
            <w:sz w:val="24"/>
            <w:szCs w:val="24"/>
            <w:rtl w:val="0"/>
          </w:rPr>
          <w:t xml:space="preserve"> 19 (4): 577–90.</w:t>
        </w:r>
      </w:hyperlink>
      <w:r w:rsidDel="00000000" w:rsidR="00000000" w:rsidRPr="00000000">
        <w:rPr>
          <w:rtl w:val="0"/>
        </w:rPr>
      </w:r>
    </w:p>
    <w:p w:rsidR="00000000" w:rsidDel="00000000" w:rsidP="00000000" w:rsidRDefault="00000000" w:rsidRPr="00000000" w14:paraId="00000059">
      <w:pPr>
        <w:widowControl w:val="0"/>
        <w:numPr>
          <w:ilvl w:val="0"/>
          <w:numId w:val="1"/>
        </w:numPr>
        <w:spacing w:line="240" w:lineRule="auto"/>
        <w:ind w:left="720" w:hanging="360"/>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Fedotova, Julia. 2020. </w:t>
        </w:r>
      </w:hyperlink>
      <w:hyperlink r:id="rId25">
        <w:r w:rsidDel="00000000" w:rsidR="00000000" w:rsidRPr="00000000">
          <w:rPr>
            <w:rFonts w:ascii="Times New Roman" w:cs="Times New Roman" w:eastAsia="Times New Roman" w:hAnsi="Times New Roman"/>
            <w:i w:val="1"/>
            <w:sz w:val="24"/>
            <w:szCs w:val="24"/>
            <w:rtl w:val="0"/>
          </w:rPr>
          <w:t xml:space="preserve">Vitamin D Deficiency</w:t>
        </w:r>
      </w:hyperlink>
      <w:hyperlink r:id="rId26">
        <w:r w:rsidDel="00000000" w:rsidR="00000000" w:rsidRPr="00000000">
          <w:rPr>
            <w:rFonts w:ascii="Times New Roman" w:cs="Times New Roman" w:eastAsia="Times New Roman" w:hAnsi="Times New Roman"/>
            <w:sz w:val="24"/>
            <w:szCs w:val="24"/>
            <w:rtl w:val="0"/>
          </w:rPr>
          <w:t xml:space="preserve">. BoD – Books on Demand.</w:t>
        </w:r>
      </w:hyperlink>
      <w:r w:rsidDel="00000000" w:rsidR="00000000" w:rsidRPr="00000000">
        <w:rPr>
          <w:rtl w:val="0"/>
        </w:rPr>
      </w:r>
    </w:p>
    <w:p w:rsidR="00000000" w:rsidDel="00000000" w:rsidP="00000000" w:rsidRDefault="00000000" w:rsidRPr="00000000" w14:paraId="0000005A">
      <w:pPr>
        <w:widowControl w:val="0"/>
        <w:numPr>
          <w:ilvl w:val="0"/>
          <w:numId w:val="1"/>
        </w:numPr>
        <w:spacing w:line="240" w:lineRule="auto"/>
        <w:ind w:left="720" w:hanging="36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Feng, Xiaoyue, Qin Yin, Ying Kang, Kang Jiang, Mengqing Xu, and Fangyu Wang. 2025. “The Role of Vitamin D Deficiency and Modifiable Risk Factors in Patients with Crohn’s Disease.” </w:t>
        </w:r>
      </w:hyperlink>
      <w:hyperlink r:id="rId28">
        <w:r w:rsidDel="00000000" w:rsidR="00000000" w:rsidRPr="00000000">
          <w:rPr>
            <w:rFonts w:ascii="Times New Roman" w:cs="Times New Roman" w:eastAsia="Times New Roman" w:hAnsi="Times New Roman"/>
            <w:i w:val="1"/>
            <w:sz w:val="24"/>
            <w:szCs w:val="24"/>
            <w:rtl w:val="0"/>
          </w:rPr>
          <w:t xml:space="preserve">Frontiers in Immunology</w:t>
        </w:r>
      </w:hyperlink>
      <w:hyperlink r:id="rId29">
        <w:r w:rsidDel="00000000" w:rsidR="00000000" w:rsidRPr="00000000">
          <w:rPr>
            <w:rFonts w:ascii="Times New Roman" w:cs="Times New Roman" w:eastAsia="Times New Roman" w:hAnsi="Times New Roman"/>
            <w:sz w:val="24"/>
            <w:szCs w:val="24"/>
            <w:rtl w:val="0"/>
          </w:rPr>
          <w:t xml:space="preserve"> 16 (July):1616924.</w:t>
        </w:r>
      </w:hyperlink>
      <w:r w:rsidDel="00000000" w:rsidR="00000000" w:rsidRPr="00000000">
        <w:rPr>
          <w:rtl w:val="0"/>
        </w:rPr>
      </w:r>
    </w:p>
    <w:p w:rsidR="00000000" w:rsidDel="00000000" w:rsidP="00000000" w:rsidRDefault="00000000" w:rsidRPr="00000000" w14:paraId="0000005B">
      <w:pPr>
        <w:widowControl w:val="0"/>
        <w:numPr>
          <w:ilvl w:val="0"/>
          <w:numId w:val="1"/>
        </w:numPr>
        <w:spacing w:line="240" w:lineRule="auto"/>
        <w:ind w:left="720" w:hanging="360"/>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sz w:val="24"/>
            <w:szCs w:val="24"/>
            <w:rtl w:val="0"/>
          </w:rPr>
          <w:t xml:space="preserve">Hewison, Martin, Roger Bouillon, Edward Giovannucci, and David Goltzman. 2017. </w:t>
        </w:r>
      </w:hyperlink>
      <w:hyperlink r:id="rId31">
        <w:r w:rsidDel="00000000" w:rsidR="00000000" w:rsidRPr="00000000">
          <w:rPr>
            <w:rFonts w:ascii="Times New Roman" w:cs="Times New Roman" w:eastAsia="Times New Roman" w:hAnsi="Times New Roman"/>
            <w:i w:val="1"/>
            <w:sz w:val="24"/>
            <w:szCs w:val="24"/>
            <w:rtl w:val="0"/>
          </w:rPr>
          <w:t xml:space="preserve">Vitamin D: Volume 2: Health, Disease and Therapeutics</w:t>
        </w:r>
      </w:hyperlink>
      <w:hyperlink r:id="rId32">
        <w:r w:rsidDel="00000000" w:rsidR="00000000" w:rsidRPr="00000000">
          <w:rPr>
            <w:rFonts w:ascii="Times New Roman" w:cs="Times New Roman" w:eastAsia="Times New Roman" w:hAnsi="Times New Roman"/>
            <w:sz w:val="24"/>
            <w:szCs w:val="24"/>
            <w:rtl w:val="0"/>
          </w:rPr>
          <w:t xml:space="preserve">. Academic Press.</w:t>
        </w:r>
      </w:hyperlink>
      <w:r w:rsidDel="00000000" w:rsidR="00000000" w:rsidRPr="00000000">
        <w:rPr>
          <w:rtl w:val="0"/>
        </w:rPr>
      </w:r>
    </w:p>
    <w:p w:rsidR="00000000" w:rsidDel="00000000" w:rsidP="00000000" w:rsidRDefault="00000000" w:rsidRPr="00000000" w14:paraId="0000005C">
      <w:pPr>
        <w:widowControl w:val="0"/>
        <w:numPr>
          <w:ilvl w:val="0"/>
          <w:numId w:val="1"/>
        </w:numPr>
        <w:spacing w:line="240" w:lineRule="auto"/>
        <w:ind w:left="720" w:hanging="360"/>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Jaramillo, Bibiana M., Jessica P. Acosta, Su A. Lee, Michael R. Murphy, and Hans H. Stein. 2025. “Microbial Phytase and 25-Hydroxy-Vitamin D3 Fed to Growing Pigs Increase Digestibility of Calcium and Phosphorus and Influence Plasma Vitamin D Metabolites and Serum Bone Biomarkers, but Effects Are Not Always Additive.” </w:t>
        </w:r>
      </w:hyperlink>
      <w:hyperlink r:id="rId34">
        <w:r w:rsidDel="00000000" w:rsidR="00000000" w:rsidRPr="00000000">
          <w:rPr>
            <w:rFonts w:ascii="Times New Roman" w:cs="Times New Roman" w:eastAsia="Times New Roman" w:hAnsi="Times New Roman"/>
            <w:i w:val="1"/>
            <w:sz w:val="24"/>
            <w:szCs w:val="24"/>
            <w:rtl w:val="0"/>
          </w:rPr>
          <w:t xml:space="preserve">Journal of Animal Science</w:t>
        </w:r>
      </w:hyperlink>
      <w:hyperlink r:id="rId35">
        <w:r w:rsidDel="00000000" w:rsidR="00000000" w:rsidRPr="00000000">
          <w:rPr>
            <w:rFonts w:ascii="Times New Roman" w:cs="Times New Roman" w:eastAsia="Times New Roman" w:hAnsi="Times New Roman"/>
            <w:sz w:val="24"/>
            <w:szCs w:val="24"/>
            <w:rtl w:val="0"/>
          </w:rPr>
          <w:t xml:space="preserve">, August. https://doi.org/</w:t>
        </w:r>
      </w:hyperlink>
      <w:hyperlink r:id="rId36">
        <w:r w:rsidDel="00000000" w:rsidR="00000000" w:rsidRPr="00000000">
          <w:rPr>
            <w:rFonts w:ascii="Times New Roman" w:cs="Times New Roman" w:eastAsia="Times New Roman" w:hAnsi="Times New Roman"/>
            <w:sz w:val="24"/>
            <w:szCs w:val="24"/>
            <w:rtl w:val="0"/>
          </w:rPr>
          <w:t xml:space="preserve">10.1093/jas/skaf273</w:t>
        </w:r>
      </w:hyperlink>
      <w:hyperlink r:id="rId3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D">
      <w:pPr>
        <w:widowControl w:val="0"/>
        <w:numPr>
          <w:ilvl w:val="0"/>
          <w:numId w:val="1"/>
        </w:numPr>
        <w:spacing w:line="240" w:lineRule="auto"/>
        <w:ind w:left="720" w:hanging="36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Liu, Yaoyuan, Zhifeng Zhong, Jiaxin Xie, Bing Ni, and Yu Wu. 2025. “Neuroprotective Roles of Vitamin D: Bridging the Gap Between Mechanisms and Clinical Applications in Cognitive Decline.” </w:t>
        </w:r>
      </w:hyperlink>
      <w:hyperlink r:id="rId39">
        <w:r w:rsidDel="00000000" w:rsidR="00000000" w:rsidRPr="00000000">
          <w:rPr>
            <w:rFonts w:ascii="Times New Roman" w:cs="Times New Roman" w:eastAsia="Times New Roman" w:hAnsi="Times New Roman"/>
            <w:i w:val="1"/>
            <w:sz w:val="24"/>
            <w:szCs w:val="24"/>
            <w:rtl w:val="0"/>
          </w:rPr>
          <w:t xml:space="preserve">International Journal of Molecular Sciences</w:t>
        </w:r>
      </w:hyperlink>
      <w:hyperlink r:id="rId40">
        <w:r w:rsidDel="00000000" w:rsidR="00000000" w:rsidRPr="00000000">
          <w:rPr>
            <w:rFonts w:ascii="Times New Roman" w:cs="Times New Roman" w:eastAsia="Times New Roman" w:hAnsi="Times New Roman"/>
            <w:sz w:val="24"/>
            <w:szCs w:val="24"/>
            <w:rtl w:val="0"/>
          </w:rPr>
          <w:t xml:space="preserve"> 26 (15). https://doi.org/</w:t>
        </w:r>
      </w:hyperlink>
      <w:hyperlink r:id="rId41">
        <w:r w:rsidDel="00000000" w:rsidR="00000000" w:rsidRPr="00000000">
          <w:rPr>
            <w:rFonts w:ascii="Times New Roman" w:cs="Times New Roman" w:eastAsia="Times New Roman" w:hAnsi="Times New Roman"/>
            <w:sz w:val="24"/>
            <w:szCs w:val="24"/>
            <w:rtl w:val="0"/>
          </w:rPr>
          <w:t xml:space="preserve">10.3390/ijms26157146</w:t>
        </w:r>
      </w:hyperlink>
      <w:hyperlink r:id="rId42">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E">
      <w:pPr>
        <w:widowControl w:val="0"/>
        <w:numPr>
          <w:ilvl w:val="0"/>
          <w:numId w:val="1"/>
        </w:numPr>
        <w:spacing w:line="240" w:lineRule="auto"/>
        <w:ind w:left="720" w:hanging="360"/>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rtl w:val="0"/>
          </w:rPr>
          <w:t xml:space="preserve">Mikula, Pavol, Matthias Unseld, and Hans Jürgen Heppner. 2025. “Vitamin D Deficiency and Exocrine Pancreatic Insufficiency: An Analysis Carried Out in Orthogeriatric Patients (VIDEP.org).” </w:t>
        </w:r>
      </w:hyperlink>
      <w:hyperlink r:id="rId44">
        <w:r w:rsidDel="00000000" w:rsidR="00000000" w:rsidRPr="00000000">
          <w:rPr>
            <w:rFonts w:ascii="Times New Roman" w:cs="Times New Roman" w:eastAsia="Times New Roman" w:hAnsi="Times New Roman"/>
            <w:i w:val="1"/>
            <w:sz w:val="24"/>
            <w:szCs w:val="24"/>
            <w:rtl w:val="0"/>
          </w:rPr>
          <w:t xml:space="preserve">Journal of Clinical Medicine</w:t>
        </w:r>
      </w:hyperlink>
      <w:hyperlink r:id="rId45">
        <w:r w:rsidDel="00000000" w:rsidR="00000000" w:rsidRPr="00000000">
          <w:rPr>
            <w:rFonts w:ascii="Times New Roman" w:cs="Times New Roman" w:eastAsia="Times New Roman" w:hAnsi="Times New Roman"/>
            <w:sz w:val="24"/>
            <w:szCs w:val="24"/>
            <w:rtl w:val="0"/>
          </w:rPr>
          <w:t xml:space="preserve"> 14 (15). https://doi.org/</w:t>
        </w:r>
      </w:hyperlink>
      <w:hyperlink r:id="rId46">
        <w:r w:rsidDel="00000000" w:rsidR="00000000" w:rsidRPr="00000000">
          <w:rPr>
            <w:rFonts w:ascii="Times New Roman" w:cs="Times New Roman" w:eastAsia="Times New Roman" w:hAnsi="Times New Roman"/>
            <w:sz w:val="24"/>
            <w:szCs w:val="24"/>
            <w:rtl w:val="0"/>
          </w:rPr>
          <w:t xml:space="preserve">10.3390/jcm14155558</w:t>
        </w:r>
      </w:hyperlink>
      <w:hyperlink r:id="rId4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F">
      <w:pPr>
        <w:widowControl w:val="0"/>
        <w:numPr>
          <w:ilvl w:val="0"/>
          <w:numId w:val="1"/>
        </w:numPr>
        <w:spacing w:line="240" w:lineRule="auto"/>
        <w:ind w:left="720" w:hanging="36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Okamura, Kana, Kazuki Takeda, Satoru Nagaoka, Chiharu Ogura, Misaki Fukamatsu, Mayumi Degawa, Hiroyuki Kagechika, Kenji Ohgane, Ryo Kamata, and Aya Tanatani. 2025. “Development and Mechanistic Evaluation of a Lithocholic Acid Derivative as an Environmentally Safe Rodenticide.” </w:t>
        </w:r>
      </w:hyperlink>
      <w:hyperlink r:id="rId49">
        <w:r w:rsidDel="00000000" w:rsidR="00000000" w:rsidRPr="00000000">
          <w:rPr>
            <w:rFonts w:ascii="Times New Roman" w:cs="Times New Roman" w:eastAsia="Times New Roman" w:hAnsi="Times New Roman"/>
            <w:i w:val="1"/>
            <w:sz w:val="24"/>
            <w:szCs w:val="24"/>
            <w:rtl w:val="0"/>
          </w:rPr>
          <w:t xml:space="preserve">ACS Pharmacology &amp; Translational Science</w:t>
        </w:r>
      </w:hyperlink>
      <w:hyperlink r:id="rId50">
        <w:r w:rsidDel="00000000" w:rsidR="00000000" w:rsidRPr="00000000">
          <w:rPr>
            <w:rFonts w:ascii="Times New Roman" w:cs="Times New Roman" w:eastAsia="Times New Roman" w:hAnsi="Times New Roman"/>
            <w:sz w:val="24"/>
            <w:szCs w:val="24"/>
            <w:rtl w:val="0"/>
          </w:rPr>
          <w:t xml:space="preserve"> 8 (8): 2474–81.</w:t>
        </w:r>
      </w:hyperlink>
      <w:r w:rsidDel="00000000" w:rsidR="00000000" w:rsidRPr="00000000">
        <w:rPr>
          <w:rtl w:val="0"/>
        </w:rPr>
      </w:r>
    </w:p>
    <w:p w:rsidR="00000000" w:rsidDel="00000000" w:rsidP="00000000" w:rsidRDefault="00000000" w:rsidRPr="00000000" w14:paraId="00000060">
      <w:pPr>
        <w:widowControl w:val="0"/>
        <w:numPr>
          <w:ilvl w:val="0"/>
          <w:numId w:val="1"/>
        </w:numPr>
        <w:spacing w:after="240" w:line="240" w:lineRule="auto"/>
        <w:ind w:left="720" w:hanging="360"/>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Özdemir, Öner. 2021. </w:t>
        </w:r>
      </w:hyperlink>
      <w:hyperlink r:id="rId52">
        <w:r w:rsidDel="00000000" w:rsidR="00000000" w:rsidRPr="00000000">
          <w:rPr>
            <w:rFonts w:ascii="Times New Roman" w:cs="Times New Roman" w:eastAsia="Times New Roman" w:hAnsi="Times New Roman"/>
            <w:i w:val="1"/>
            <w:sz w:val="24"/>
            <w:szCs w:val="24"/>
            <w:rtl w:val="0"/>
          </w:rPr>
          <w:t xml:space="preserve">Vitamin D</w:t>
        </w:r>
      </w:hyperlink>
      <w:hyperlink r:id="rId53">
        <w:r w:rsidDel="00000000" w:rsidR="00000000" w:rsidRPr="00000000">
          <w:rPr>
            <w:rFonts w:ascii="Times New Roman" w:cs="Times New Roman" w:eastAsia="Times New Roman" w:hAnsi="Times New Roman"/>
            <w:sz w:val="24"/>
            <w:szCs w:val="24"/>
            <w:rtl w:val="0"/>
          </w:rPr>
          <w:t xml:space="preserve">. BoD – Books on Demand.</w:t>
        </w:r>
      </w:hyperlink>
      <w:r w:rsidDel="00000000" w:rsidR="00000000" w:rsidRPr="00000000">
        <w:rPr>
          <w:rtl w:val="0"/>
        </w:rPr>
      </w:r>
    </w:p>
    <w:p w:rsidR="00000000" w:rsidDel="00000000" w:rsidP="00000000" w:rsidRDefault="00000000" w:rsidRPr="00000000" w14:paraId="00000061">
      <w:pPr>
        <w:spacing w:after="240" w:befor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j6tc64pdhpcs" w:id="5"/>
      <w:bookmarkEnd w:id="5"/>
      <w:r w:rsidDel="00000000" w:rsidR="00000000" w:rsidRPr="00000000">
        <w:rPr>
          <w:rFonts w:ascii="Times New Roman" w:cs="Times New Roman" w:eastAsia="Times New Roman" w:hAnsi="Times New Roman"/>
          <w:b w:val="1"/>
          <w:sz w:val="24"/>
          <w:szCs w:val="24"/>
          <w:rtl w:val="0"/>
        </w:rPr>
        <w:t xml:space="preserve">TABLES AND CONTENTS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Statistical analysis was conducted on two algorithms across 10 iterations. The results indicate that DT consistently outperforms RF in terms of mean accuracy. Both the SD and SD Err of the Mean were evaluated, further highlighting the difference in performance between the two algorithms. </w:t>
      </w:r>
      <w:r w:rsidDel="00000000" w:rsidR="00000000" w:rsidRPr="00000000">
        <w:rPr>
          <w:rtl w:val="0"/>
        </w:rPr>
      </w:r>
    </w:p>
    <w:p w:rsidR="00000000" w:rsidDel="00000000" w:rsidP="00000000" w:rsidRDefault="00000000" w:rsidRPr="00000000" w14:paraId="00000069">
      <w:pPr>
        <w:spacing w:after="240" w:before="240" w:lineRule="auto"/>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20"/>
        <w:gridCol w:w="1215"/>
        <w:gridCol w:w="1515"/>
        <w:gridCol w:w="1755"/>
        <w:gridCol w:w="1860"/>
        <w:tblGridChange w:id="0">
          <w:tblGrid>
            <w:gridCol w:w="1695"/>
            <w:gridCol w:w="1320"/>
            <w:gridCol w:w="1215"/>
            <w:gridCol w:w="1515"/>
            <w:gridCol w:w="1755"/>
            <w:gridCol w:w="18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GROUPS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Std.Deviation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SD. Err Mean</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sz w:val="24"/>
                <w:szCs w:val="24"/>
              </w:rPr>
            </w:pPr>
            <w:r w:rsidDel="00000000" w:rsidR="00000000" w:rsidRPr="00000000">
              <w:rPr>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sz w:val="24"/>
                <w:szCs w:val="24"/>
              </w:rPr>
            </w:pPr>
            <w:r w:rsidDel="00000000" w:rsidR="00000000" w:rsidRPr="00000000">
              <w:rPr>
                <w:sz w:val="24"/>
                <w:szCs w:val="24"/>
                <w:rtl w:val="0"/>
              </w:rPr>
              <w:t xml:space="preserve">RF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sz w:val="24"/>
                <w:szCs w:val="24"/>
              </w:rPr>
            </w:pPr>
            <w:r w:rsidDel="00000000" w:rsidR="00000000" w:rsidRPr="00000000">
              <w:rPr>
                <w:sz w:val="24"/>
                <w:szCs w:val="24"/>
                <w:rtl w:val="0"/>
              </w:rPr>
              <w:t xml:space="preserve">93.6000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sz w:val="24"/>
                <w:szCs w:val="24"/>
              </w:rPr>
            </w:pPr>
            <w:r w:rsidDel="00000000" w:rsidR="00000000" w:rsidRPr="00000000">
              <w:rPr>
                <w:sz w:val="24"/>
                <w:szCs w:val="24"/>
                <w:rtl w:val="0"/>
              </w:rPr>
              <w:t xml:space="preserve">0.09618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sz w:val="24"/>
                <w:szCs w:val="24"/>
              </w:rPr>
            </w:pPr>
            <w:r w:rsidDel="00000000" w:rsidR="00000000" w:rsidRPr="00000000">
              <w:rPr>
                <w:sz w:val="24"/>
                <w:szCs w:val="24"/>
                <w:rtl w:val="0"/>
              </w:rPr>
              <w:t xml:space="preserve">0.04301</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sz w:val="24"/>
                <w:szCs w:val="24"/>
              </w:rPr>
            </w:pPr>
            <w:r w:rsidDel="00000000" w:rsidR="00000000" w:rsidRPr="00000000">
              <w:rPr>
                <w:sz w:val="24"/>
                <w:szCs w:val="24"/>
                <w:rtl w:val="0"/>
              </w:rPr>
              <w:t xml:space="preserve">DT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sz w:val="24"/>
                <w:szCs w:val="24"/>
              </w:rPr>
            </w:pPr>
            <w:r w:rsidDel="00000000" w:rsidR="00000000" w:rsidRPr="00000000">
              <w:rPr>
                <w:sz w:val="24"/>
                <w:szCs w:val="24"/>
                <w:rtl w:val="0"/>
              </w:rPr>
              <w:t xml:space="preserve">96.0940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sz w:val="24"/>
                <w:szCs w:val="24"/>
              </w:rPr>
            </w:pPr>
            <w:r w:rsidDel="00000000" w:rsidR="00000000" w:rsidRPr="00000000">
              <w:rPr>
                <w:sz w:val="24"/>
                <w:szCs w:val="24"/>
                <w:rtl w:val="0"/>
              </w:rPr>
              <w:t xml:space="preserve">0.09711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sz w:val="24"/>
                <w:szCs w:val="24"/>
              </w:rPr>
            </w:pPr>
            <w:r w:rsidDel="00000000" w:rsidR="00000000" w:rsidRPr="00000000">
              <w:rPr>
                <w:sz w:val="24"/>
                <w:szCs w:val="24"/>
                <w:rtl w:val="0"/>
              </w:rPr>
              <w:t xml:space="preserve">0.04343</w:t>
            </w:r>
          </w:p>
        </w:tc>
      </w:tr>
    </w:tbl>
    <w:p w:rsidR="00000000" w:rsidDel="00000000" w:rsidP="00000000" w:rsidRDefault="00000000" w:rsidRPr="00000000" w14:paraId="0000007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after="240" w:before="24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Comparing the accurateness and specificity of detection achieved by RF and DT. A notable statistical disparity was evident between the two algorithms (p &lt; 0.05). Descriptive analytics were applied to the dataset with a sureness interval set at 95%, and a significance level established at 0.05. </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615"/>
        <w:gridCol w:w="615"/>
        <w:gridCol w:w="615"/>
        <w:gridCol w:w="600"/>
        <w:gridCol w:w="1500"/>
        <w:gridCol w:w="810"/>
        <w:gridCol w:w="810"/>
        <w:gridCol w:w="945"/>
        <w:gridCol w:w="1050"/>
        <w:tblGridChange w:id="0">
          <w:tblGrid>
            <w:gridCol w:w="915"/>
            <w:gridCol w:w="915"/>
            <w:gridCol w:w="615"/>
            <w:gridCol w:w="615"/>
            <w:gridCol w:w="615"/>
            <w:gridCol w:w="600"/>
            <w:gridCol w:w="1500"/>
            <w:gridCol w:w="810"/>
            <w:gridCol w:w="810"/>
            <w:gridCol w:w="945"/>
            <w:gridCol w:w="1050"/>
          </w:tblGrid>
        </w:tblGridChange>
      </w:tblGrid>
      <w:tr>
        <w:trPr>
          <w:cantSplit w:val="0"/>
          <w:trHeight w:val="1320"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5"/>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of Means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 Confidence Interval of the Diff</w:t>
            </w:r>
          </w:p>
        </w:tc>
      </w:tr>
      <w:tr>
        <w:trPr>
          <w:cantSplit w:val="0"/>
          <w:trHeight w:val="495"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b w:val="1"/>
                <w:sz w:val="24"/>
                <w:szCs w:val="24"/>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Sig(2-tailed)</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980"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One-Sided p</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both"/>
              <w:rPr>
                <w:b w:val="1"/>
                <w:sz w:val="24"/>
                <w:szCs w:val="24"/>
              </w:rPr>
            </w:pPr>
            <w:r w:rsidDel="00000000" w:rsidR="00000000" w:rsidRPr="00000000">
              <w:rPr>
                <w:rtl w:val="0"/>
              </w:rPr>
            </w:r>
          </w:p>
        </w:tc>
      </w:tr>
      <w:tr>
        <w:trPr>
          <w:cantSplit w:val="0"/>
          <w:trHeight w:val="2021.86523437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7.45628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10.34372</w:t>
            </w:r>
          </w:p>
        </w:tc>
      </w:tr>
      <w:tr>
        <w:trPr>
          <w:cantSplit w:val="0"/>
          <w:trHeight w:val="21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17.971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10.34389</w:t>
            </w:r>
          </w:p>
        </w:tc>
      </w:tr>
    </w:tbl>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Enhancing Vitamin D Deficiency Prediction (Random Forest accuracy of 93.66% and DT accuracy of 96.09%)</w:t>
      </w:r>
    </w:p>
    <w:tbl>
      <w:tblPr>
        <w:tblStyle w:val="Table3"/>
        <w:tblW w:w="886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775"/>
        <w:gridCol w:w="3000"/>
        <w:tblGridChange w:id="0">
          <w:tblGrid>
            <w:gridCol w:w="3090"/>
            <w:gridCol w:w="2775"/>
            <w:gridCol w:w="3000"/>
          </w:tblGrid>
        </w:tblGridChange>
      </w:tblGrid>
      <w:tr>
        <w:trPr>
          <w:cantSplit w:val="0"/>
          <w:trHeight w:val="1387.11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15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Iteration Number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RF</w:t>
            </w:r>
          </w:p>
          <w:p w:rsidR="00000000" w:rsidDel="00000000" w:rsidP="00000000" w:rsidRDefault="00000000" w:rsidRPr="00000000" w14:paraId="000000C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DT</w:t>
            </w:r>
          </w:p>
          <w:p w:rsidR="00000000" w:rsidDel="00000000" w:rsidP="00000000" w:rsidRDefault="00000000" w:rsidRPr="00000000" w14:paraId="000000C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r>
      <w:tr>
        <w:trPr>
          <w:cantSplit w:val="0"/>
          <w:trHeight w:val="707.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1540" w:firstLine="0"/>
              <w:jc w:val="center"/>
              <w:rPr>
                <w:sz w:val="24"/>
                <w:szCs w:val="24"/>
              </w:rPr>
            </w:pPr>
            <w:r w:rsidDel="00000000" w:rsidR="00000000" w:rsidRPr="00000000">
              <w:rPr>
                <w:sz w:val="24"/>
                <w:szCs w:val="24"/>
                <w:rtl w:val="0"/>
              </w:rPr>
              <w:t xml:space="preserve">93.4745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96.2282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1540" w:firstLine="0"/>
              <w:jc w:val="center"/>
              <w:rPr>
                <w:sz w:val="24"/>
                <w:szCs w:val="24"/>
              </w:rPr>
            </w:pPr>
            <w:r w:rsidDel="00000000" w:rsidR="00000000" w:rsidRPr="00000000">
              <w:rPr>
                <w:sz w:val="24"/>
                <w:szCs w:val="24"/>
                <w:rtl w:val="0"/>
              </w:rPr>
              <w:t xml:space="preserve">94.0507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1540" w:firstLine="0"/>
              <w:jc w:val="center"/>
              <w:rPr>
                <w:sz w:val="24"/>
                <w:szCs w:val="24"/>
              </w:rPr>
            </w:pPr>
            <w:r w:rsidDel="00000000" w:rsidR="00000000" w:rsidRPr="00000000">
              <w:rPr>
                <w:sz w:val="24"/>
                <w:szCs w:val="24"/>
                <w:rtl w:val="0"/>
              </w:rPr>
              <w:t xml:space="preserve">93.8320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1540" w:firstLine="0"/>
              <w:jc w:val="center"/>
              <w:rPr>
                <w:sz w:val="24"/>
                <w:szCs w:val="24"/>
              </w:rPr>
            </w:pPr>
            <w:r w:rsidDel="00000000" w:rsidR="00000000" w:rsidRPr="00000000">
              <w:rPr>
                <w:sz w:val="24"/>
                <w:szCs w:val="24"/>
                <w:rtl w:val="0"/>
              </w:rPr>
              <w:t xml:space="preserve">93.6987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96.4199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1540" w:firstLine="0"/>
              <w:jc w:val="center"/>
              <w:rPr>
                <w:sz w:val="24"/>
                <w:szCs w:val="24"/>
              </w:rPr>
            </w:pPr>
            <w:r w:rsidDel="00000000" w:rsidR="00000000" w:rsidRPr="00000000">
              <w:rPr>
                <w:sz w:val="24"/>
                <w:szCs w:val="24"/>
                <w:rtl w:val="0"/>
              </w:rPr>
              <w:t xml:space="preserve">93.2560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96.3894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1540" w:firstLine="0"/>
              <w:jc w:val="center"/>
              <w:rPr>
                <w:sz w:val="24"/>
                <w:szCs w:val="24"/>
              </w:rPr>
            </w:pPr>
            <w:r w:rsidDel="00000000" w:rsidR="00000000" w:rsidRPr="00000000">
              <w:rPr>
                <w:sz w:val="24"/>
                <w:szCs w:val="24"/>
                <w:rtl w:val="0"/>
              </w:rPr>
              <w:t xml:space="preserve">93.2560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96.3910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1540" w:firstLine="0"/>
              <w:jc w:val="center"/>
              <w:rPr>
                <w:sz w:val="24"/>
                <w:szCs w:val="24"/>
              </w:rPr>
            </w:pPr>
            <w:r w:rsidDel="00000000" w:rsidR="00000000" w:rsidRPr="00000000">
              <w:rPr>
                <w:sz w:val="24"/>
                <w:szCs w:val="24"/>
                <w:rtl w:val="0"/>
              </w:rPr>
              <w:t xml:space="preserve">93.1581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96.5118</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1540" w:firstLine="0"/>
              <w:jc w:val="center"/>
              <w:rPr>
                <w:sz w:val="24"/>
                <w:szCs w:val="24"/>
              </w:rPr>
            </w:pPr>
            <w:r w:rsidDel="00000000" w:rsidR="00000000" w:rsidRPr="00000000">
              <w:rPr>
                <w:sz w:val="24"/>
                <w:szCs w:val="24"/>
                <w:rtl w:val="0"/>
              </w:rPr>
              <w:t xml:space="preserve">93.9662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96.7324</w:t>
            </w:r>
          </w:p>
        </w:tc>
      </w:tr>
      <w:tr>
        <w:trPr>
          <w:cantSplit w:val="0"/>
          <w:trHeight w:val="662.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1540" w:firstLine="0"/>
              <w:jc w:val="center"/>
              <w:rPr>
                <w:sz w:val="24"/>
                <w:szCs w:val="24"/>
              </w:rPr>
            </w:pPr>
            <w:r w:rsidDel="00000000" w:rsidR="00000000" w:rsidRPr="00000000">
              <w:rPr>
                <w:sz w:val="24"/>
                <w:szCs w:val="24"/>
                <w:rtl w:val="0"/>
              </w:rPr>
              <w:t xml:space="preserve">93.7011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96.6395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1540" w:firstLine="0"/>
              <w:jc w:val="center"/>
              <w:rPr>
                <w:sz w:val="24"/>
                <w:szCs w:val="24"/>
              </w:rPr>
            </w:pPr>
            <w:r w:rsidDel="00000000" w:rsidR="00000000" w:rsidRPr="00000000">
              <w:rPr>
                <w:sz w:val="24"/>
                <w:szCs w:val="24"/>
                <w:rtl w:val="0"/>
              </w:rPr>
              <w:t xml:space="preserve">93.8081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96.4988</w:t>
            </w:r>
          </w:p>
        </w:tc>
      </w:tr>
    </w:tbl>
    <w:p w:rsidR="00000000" w:rsidDel="00000000" w:rsidP="00000000" w:rsidRDefault="00000000" w:rsidRPr="00000000" w14:paraId="000000E5">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6">
      <w:pPr>
        <w:spacing w:after="240" w:before="240" w:lineRule="auto"/>
        <w:jc w:val="both"/>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8">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The bar chart visually contrasts the mean accuracies of the RF algorithm and the DT algorithm. standard deviation for DT is marginally better, suggesting a more consistent performance. On the chart, the x-axis distinguishes between RF and DT, while the y-axis measures the average accuracy of detection, encompassing a range (±2) SD.</w:t>
      </w:r>
    </w:p>
    <w:p w:rsidR="00000000" w:rsidDel="00000000" w:rsidP="00000000" w:rsidRDefault="00000000" w:rsidRPr="00000000" w14:paraId="000000E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5NTzJ1/7ziR" TargetMode="External"/><Relationship Id="rId42" Type="http://schemas.openxmlformats.org/officeDocument/2006/relationships/hyperlink" Target="http://paperpile.com/b/5NTzJ1/7ziR" TargetMode="External"/><Relationship Id="rId41" Type="http://schemas.openxmlformats.org/officeDocument/2006/relationships/hyperlink" Target="http://dx.doi.org/10.3390/ijms26157146" TargetMode="External"/><Relationship Id="rId44" Type="http://schemas.openxmlformats.org/officeDocument/2006/relationships/hyperlink" Target="http://paperpile.com/b/5NTzJ1/thkU" TargetMode="External"/><Relationship Id="rId43" Type="http://schemas.openxmlformats.org/officeDocument/2006/relationships/hyperlink" Target="http://paperpile.com/b/5NTzJ1/thkU" TargetMode="External"/><Relationship Id="rId46" Type="http://schemas.openxmlformats.org/officeDocument/2006/relationships/hyperlink" Target="http://dx.doi.org/10.3390/jcm14155558" TargetMode="External"/><Relationship Id="rId45" Type="http://schemas.openxmlformats.org/officeDocument/2006/relationships/hyperlink" Target="http://paperpile.com/b/5NTzJ1/thk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5NTzJ1/thkU" TargetMode="External"/><Relationship Id="rId48" Type="http://schemas.openxmlformats.org/officeDocument/2006/relationships/hyperlink" Target="http://paperpile.com/b/5NTzJ1/KySs" TargetMode="External"/><Relationship Id="rId47" Type="http://schemas.openxmlformats.org/officeDocument/2006/relationships/hyperlink" Target="http://paperpile.com/b/5NTzJ1/thkU" TargetMode="External"/><Relationship Id="rId49" Type="http://schemas.openxmlformats.org/officeDocument/2006/relationships/hyperlink" Target="http://paperpile.com/b/5NTzJ1/KySs" TargetMode="External"/><Relationship Id="rId5" Type="http://schemas.openxmlformats.org/officeDocument/2006/relationships/styles" Target="styles.xml"/><Relationship Id="rId6" Type="http://schemas.openxmlformats.org/officeDocument/2006/relationships/hyperlink" Target="https://paperpile.com/c/5NTzJ1/uQpB" TargetMode="External"/><Relationship Id="rId7" Type="http://schemas.openxmlformats.org/officeDocument/2006/relationships/hyperlink" Target="https://paperpile.com/c/5NTzJ1/uQpB+XdOT" TargetMode="External"/><Relationship Id="rId8" Type="http://schemas.openxmlformats.org/officeDocument/2006/relationships/hyperlink" Target="https://paperpile.com/c/5NTzJ1/Dhss" TargetMode="External"/><Relationship Id="rId31" Type="http://schemas.openxmlformats.org/officeDocument/2006/relationships/hyperlink" Target="http://paperpile.com/b/5NTzJ1/7zxO" TargetMode="External"/><Relationship Id="rId30" Type="http://schemas.openxmlformats.org/officeDocument/2006/relationships/hyperlink" Target="http://paperpile.com/b/5NTzJ1/7zxO" TargetMode="External"/><Relationship Id="rId33" Type="http://schemas.openxmlformats.org/officeDocument/2006/relationships/hyperlink" Target="http://paperpile.com/b/5NTzJ1/Dhss" TargetMode="External"/><Relationship Id="rId32" Type="http://schemas.openxmlformats.org/officeDocument/2006/relationships/hyperlink" Target="http://paperpile.com/b/5NTzJ1/7zxO" TargetMode="External"/><Relationship Id="rId35" Type="http://schemas.openxmlformats.org/officeDocument/2006/relationships/hyperlink" Target="http://paperpile.com/b/5NTzJ1/Dhss" TargetMode="External"/><Relationship Id="rId34" Type="http://schemas.openxmlformats.org/officeDocument/2006/relationships/hyperlink" Target="http://paperpile.com/b/5NTzJ1/Dhss" TargetMode="External"/><Relationship Id="rId37" Type="http://schemas.openxmlformats.org/officeDocument/2006/relationships/hyperlink" Target="http://paperpile.com/b/5NTzJ1/Dhss" TargetMode="External"/><Relationship Id="rId36" Type="http://schemas.openxmlformats.org/officeDocument/2006/relationships/hyperlink" Target="http://dx.doi.org/10.1093/jas/skaf273" TargetMode="External"/><Relationship Id="rId39" Type="http://schemas.openxmlformats.org/officeDocument/2006/relationships/hyperlink" Target="http://paperpile.com/b/5NTzJ1/7ziR" TargetMode="External"/><Relationship Id="rId38" Type="http://schemas.openxmlformats.org/officeDocument/2006/relationships/hyperlink" Target="http://paperpile.com/b/5NTzJ1/7ziR" TargetMode="External"/><Relationship Id="rId20" Type="http://schemas.openxmlformats.org/officeDocument/2006/relationships/hyperlink" Target="http://paperpile.com/b/5NTzJ1/zxQJ" TargetMode="External"/><Relationship Id="rId22" Type="http://schemas.openxmlformats.org/officeDocument/2006/relationships/hyperlink" Target="http://paperpile.com/b/5NTzJ1/uQpB" TargetMode="External"/><Relationship Id="rId21" Type="http://schemas.openxmlformats.org/officeDocument/2006/relationships/hyperlink" Target="http://paperpile.com/b/5NTzJ1/uQpB" TargetMode="External"/><Relationship Id="rId24" Type="http://schemas.openxmlformats.org/officeDocument/2006/relationships/hyperlink" Target="http://paperpile.com/b/5NTzJ1/y4vg" TargetMode="External"/><Relationship Id="rId23" Type="http://schemas.openxmlformats.org/officeDocument/2006/relationships/hyperlink" Target="http://paperpile.com/b/5NTzJ1/uQpB" TargetMode="External"/><Relationship Id="rId26" Type="http://schemas.openxmlformats.org/officeDocument/2006/relationships/hyperlink" Target="http://paperpile.com/b/5NTzJ1/y4vg" TargetMode="External"/><Relationship Id="rId25" Type="http://schemas.openxmlformats.org/officeDocument/2006/relationships/hyperlink" Target="http://paperpile.com/b/5NTzJ1/y4vg" TargetMode="External"/><Relationship Id="rId28" Type="http://schemas.openxmlformats.org/officeDocument/2006/relationships/hyperlink" Target="http://paperpile.com/b/5NTzJ1/XdOT" TargetMode="External"/><Relationship Id="rId27" Type="http://schemas.openxmlformats.org/officeDocument/2006/relationships/hyperlink" Target="http://paperpile.com/b/5NTzJ1/XdOT" TargetMode="External"/><Relationship Id="rId29" Type="http://schemas.openxmlformats.org/officeDocument/2006/relationships/hyperlink" Target="http://paperpile.com/b/5NTzJ1/XdOT" TargetMode="External"/><Relationship Id="rId51" Type="http://schemas.openxmlformats.org/officeDocument/2006/relationships/hyperlink" Target="http://paperpile.com/b/5NTzJ1/wqoA" TargetMode="External"/><Relationship Id="rId50" Type="http://schemas.openxmlformats.org/officeDocument/2006/relationships/hyperlink" Target="http://paperpile.com/b/5NTzJ1/KySs" TargetMode="External"/><Relationship Id="rId53" Type="http://schemas.openxmlformats.org/officeDocument/2006/relationships/hyperlink" Target="http://paperpile.com/b/5NTzJ1/wqoA" TargetMode="External"/><Relationship Id="rId52" Type="http://schemas.openxmlformats.org/officeDocument/2006/relationships/hyperlink" Target="http://paperpile.com/b/5NTzJ1/wqoA" TargetMode="External"/><Relationship Id="rId11" Type="http://schemas.openxmlformats.org/officeDocument/2006/relationships/hyperlink" Target="https://paperpile.com/c/5NTzJ1/zxQJ" TargetMode="External"/><Relationship Id="rId10" Type="http://schemas.openxmlformats.org/officeDocument/2006/relationships/hyperlink" Target="https://paperpile.com/c/5NTzJ1/thkU+7ziR" TargetMode="External"/><Relationship Id="rId54" Type="http://schemas.openxmlformats.org/officeDocument/2006/relationships/image" Target="media/image1.png"/><Relationship Id="rId13" Type="http://schemas.openxmlformats.org/officeDocument/2006/relationships/hyperlink" Target="https://paperpile.com/c/5NTzJ1/7zxO+wqoA" TargetMode="External"/><Relationship Id="rId12" Type="http://schemas.openxmlformats.org/officeDocument/2006/relationships/hyperlink" Target="https://paperpile.com/c/5NTzJ1/7zxO" TargetMode="External"/><Relationship Id="rId15" Type="http://schemas.openxmlformats.org/officeDocument/2006/relationships/hyperlink" Target="https://paperpile.com/c/5NTzJ1/y4vg+KySs" TargetMode="External"/><Relationship Id="rId14" Type="http://schemas.openxmlformats.org/officeDocument/2006/relationships/hyperlink" Target="https://paperpile.com/c/5NTzJ1/y4vg" TargetMode="External"/><Relationship Id="rId17" Type="http://schemas.openxmlformats.org/officeDocument/2006/relationships/hyperlink" Target="http://paperpile.com/b/5NTzJ1/zxQJ" TargetMode="External"/><Relationship Id="rId16" Type="http://schemas.openxmlformats.org/officeDocument/2006/relationships/hyperlink" Target="http://paperpile.com/b/5NTzJ1/zxQJ" TargetMode="External"/><Relationship Id="rId19" Type="http://schemas.openxmlformats.org/officeDocument/2006/relationships/hyperlink" Target="http://dx.doi.org/10.3390/nu17152526" TargetMode="External"/><Relationship Id="rId18" Type="http://schemas.openxmlformats.org/officeDocument/2006/relationships/hyperlink" Target="http://paperpile.com/b/5NTzJ1/zxQ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