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 REPUESTOS UNIVERSAL CHINA / CHINA ELÉCTRICA</w:t>
        <w:br/>
      </w:r>
      <w:r>
        <w:rPr>
          <w:rFonts w:ascii="Arial" w:hAnsi="Arial"/>
          <w:color w:val="2D3748"/>
          <w:sz w:val="19"/>
        </w:rPr>
        <w:t>Atención: Gerencia General / Dirección de Importaciones y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(aros de lujo KCJC, iluminación LED, pitos caracol multicolor, halógenos y cascos)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