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INTERPARK NICARAGUA</w:t>
        <w:br/>
      </w:r>
      <w:r>
        <w:rPr>
          <w:rFonts w:ascii="Arial" w:hAnsi="Arial"/>
          <w:color w:val="2D3748"/>
          <w:sz w:val="19"/>
        </w:rPr>
        <w:t>Atención: Gerencia General / División de Neumáticos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(línea de llantas Rinova para motocicletas (rin 21, rin 18, rin 17) y cámaras)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