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OUMURS MOTORCYCLE PARTS</w:t>
        <w:br/>
      </w:r>
      <w:r>
        <w:rPr>
          <w:rFonts w:ascii="Arial" w:hAnsi="Arial"/>
          <w:color w:val="2D3748"/>
          <w:sz w:val="19"/>
        </w:rPr>
        <w:t>Atención: Gerencia General / Departamento de Exportaciones y Ventas</w:t>
        <w:br/>
        <w:t>Managua / Representación Regional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Oumurs, mordazas de freno, cajas de cambio y tapas de tanque)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