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MADINISA NICARAGUA</w:t>
        <w:br/>
      </w:r>
      <w:r>
        <w:rPr>
          <w:rFonts w:ascii="Arial" w:hAnsi="Arial"/>
          <w:color w:val="2D3748"/>
          <w:sz w:val="19"/>
        </w:rPr>
        <w:t>Atención: Gerencia General / División Automotriz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(lámparas y bombillos automotrices Narva de fabricación alemana)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