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80"/>
              <w:left w:type="dxa" w:w="140"/>
              <w:bottom w:type="dxa" w:w="480"/>
              <w:right w:type="dxa" w:w="140"/>
            </w:tcMar>
            <w:vAlign w:val="top"/>
          </w:tcPr>
          <w:p>
            <w:pPr>
              <w:spacing w:after="80" w:before="0"/>
              <w:jc w:val="center"/>
            </w:pPr>
            <w:r>
              <w:rPr>
                <w:rFonts w:ascii="Calibri" w:cs="Calibri" w:eastAsia="Calibri" w:hAnsi="Calibri"/>
                <w:b/>
                <w:bCs/>
                <w:i w:val="false"/>
                <w:iCs w:val="false"/>
                <w:color w:val="FFFFFF"/>
                <w:sz w:val="64"/>
                <w:szCs w:val="64"/>
              </w:rPr>
              <w:t xml:space="preserve">EduTutor IA</w:t>
            </w:r>
          </w:p>
          <w:p>
            <w:pPr>
              <w:spacing w:after="80" w:before="0"/>
              <w:jc w:val="center"/>
            </w:pPr>
            <w:r>
              <w:rPr>
                <w:rFonts w:ascii="Calibri" w:cs="Calibri" w:eastAsia="Calibri" w:hAnsi="Calibri"/>
                <w:b w:val="false"/>
                <w:bCs w:val="false"/>
                <w:i/>
                <w:iCs/>
                <w:color w:val="C8D8EF"/>
                <w:sz w:val="36"/>
                <w:szCs w:val="36"/>
              </w:rPr>
              <w:t xml:space="preserve">Customer Journey Map</w:t>
            </w:r>
          </w:p>
          <w:p>
            <w:pPr>
              <w:spacing w:after="80" w:before="0"/>
              <w:jc w:val="center"/>
            </w:pPr>
            <w:r>
              <w:rPr>
                <w:rFonts w:ascii="Calibri" w:cs="Calibri" w:eastAsia="Calibri" w:hAnsi="Calibri"/>
                <w:b w:val="false"/>
                <w:bCs w:val="false"/>
                <w:i w:val="false"/>
                <w:iCs w:val="false"/>
                <w:color w:val="A0B8D8"/>
                <w:sz w:val="22"/>
                <w:szCs w:val="22"/>
              </w:rPr>
              <w:t xml:space="preserve">Cartographie de l'expérience utilisateur — v1.0</w:t>
            </w:r>
          </w:p>
        </w:tc>
      </w:tr>
    </w:tbl>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6E4F7" w:sz="4"/>
              <w:left w:val="single" w:color="D6E4F7" w:sz="4"/>
              <w:bottom w:val="single" w:color="D6E4F7" w:sz="4"/>
              <w:right w:val="single" w:color="D6E4F7"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2E5FA3"/>
                <w:sz w:val="20"/>
                <w:szCs w:val="20"/>
              </w:rPr>
              <w:t xml:space="preserve">Equipe</w:t>
            </w:r>
          </w:p>
        </w:tc>
        <w:tc>
          <w:tcPr>
            <w:tcW w:type="dxa" w:w="3000"/>
            <w:tcBorders>
              <w:top w:val="single" w:color="D6E4F7" w:sz="4"/>
              <w:left w:val="single" w:color="D6E4F7" w:sz="4"/>
              <w:bottom w:val="single" w:color="D6E4F7" w:sz="4"/>
              <w:right w:val="single" w:color="D6E4F7"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20"/>
                <w:szCs w:val="20"/>
              </w:rPr>
              <w:t xml:space="preserve">Equipe 28</w:t>
            </w:r>
          </w:p>
        </w:tc>
      </w:tr>
      <w:tr>
        <w:tc>
          <w:tcPr>
            <w:tcW w:type="dxa" w:w="2000"/>
            <w:tcBorders>
              <w:top w:val="single" w:color="D6E4F7" w:sz="4"/>
              <w:left w:val="single" w:color="D6E4F7" w:sz="4"/>
              <w:bottom w:val="single" w:color="D6E4F7" w:sz="4"/>
              <w:right w:val="single" w:color="D6E4F7"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2E5FA3"/>
                <w:sz w:val="20"/>
                <w:szCs w:val="20"/>
              </w:rPr>
              <w:t xml:space="preserve">Projet</w:t>
            </w:r>
          </w:p>
        </w:tc>
        <w:tc>
          <w:tcPr>
            <w:tcW w:type="dxa" w:w="3000"/>
            <w:tcBorders>
              <w:top w:val="single" w:color="D6E4F7" w:sz="4"/>
              <w:left w:val="single" w:color="D6E4F7" w:sz="4"/>
              <w:bottom w:val="single" w:color="D6E4F7" w:sz="4"/>
              <w:right w:val="single" w:color="D6E4F7"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20"/>
                <w:szCs w:val="20"/>
              </w:rPr>
              <w:t xml:space="preserve">EduTutor IA — APOCAL'IPSSI 2026</w:t>
            </w:r>
          </w:p>
        </w:tc>
      </w:tr>
      <w:tr>
        <w:tc>
          <w:tcPr>
            <w:tcW w:type="dxa" w:w="2000"/>
            <w:tcBorders>
              <w:top w:val="single" w:color="D6E4F7" w:sz="4"/>
              <w:left w:val="single" w:color="D6E4F7" w:sz="4"/>
              <w:bottom w:val="single" w:color="D6E4F7" w:sz="4"/>
              <w:right w:val="single" w:color="D6E4F7"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2E5FA3"/>
                <w:sz w:val="20"/>
                <w:szCs w:val="20"/>
              </w:rPr>
              <w:t xml:space="preserve">Stack</w:t>
            </w:r>
          </w:p>
        </w:tc>
        <w:tc>
          <w:tcPr>
            <w:tcW w:type="dxa" w:w="3000"/>
            <w:tcBorders>
              <w:top w:val="single" w:color="D6E4F7" w:sz="4"/>
              <w:left w:val="single" w:color="D6E4F7" w:sz="4"/>
              <w:bottom w:val="single" w:color="D6E4F7" w:sz="4"/>
              <w:right w:val="single" w:color="D6E4F7"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20"/>
                <w:szCs w:val="20"/>
              </w:rPr>
              <w:t xml:space="preserve">Django · React · PostgreSQL · Ollama</w:t>
            </w:r>
          </w:p>
        </w:tc>
      </w:tr>
      <w:tr>
        <w:tc>
          <w:tcPr>
            <w:tcW w:type="dxa" w:w="2000"/>
            <w:tcBorders>
              <w:top w:val="single" w:color="D6E4F7" w:sz="4"/>
              <w:left w:val="single" w:color="D6E4F7" w:sz="4"/>
              <w:bottom w:val="single" w:color="D6E4F7" w:sz="4"/>
              <w:right w:val="single" w:color="D6E4F7"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2E5FA3"/>
                <w:sz w:val="20"/>
                <w:szCs w:val="20"/>
              </w:rPr>
              <w:t xml:space="preserve">Version</w:t>
            </w:r>
          </w:p>
        </w:tc>
        <w:tc>
          <w:tcPr>
            <w:tcW w:type="dxa" w:w="3000"/>
            <w:tcBorders>
              <w:top w:val="single" w:color="D6E4F7" w:sz="4"/>
              <w:left w:val="single" w:color="D6E4F7" w:sz="4"/>
              <w:bottom w:val="single" w:color="D6E4F7" w:sz="4"/>
              <w:right w:val="single" w:color="D6E4F7"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20"/>
                <w:szCs w:val="20"/>
              </w:rPr>
              <w:t xml:space="preserve">Juin 2026</w:t>
            </w:r>
          </w:p>
        </w:tc>
      </w:tr>
    </w:tbl>
    <w:p>
      <w:r>
        <w:br w:type="page"/>
      </w:r>
    </w:p>
    <w:p>
      <w:pPr>
        <w:spacing w:after="160" w:before="0"/>
        <w:jc w:val="left"/>
      </w:pPr>
      <w:r>
        <w:rPr>
          <w:rFonts w:ascii="Calibri" w:cs="Calibri" w:eastAsia="Calibri" w:hAnsi="Calibri"/>
          <w:b/>
          <w:bCs/>
          <w:i w:val="false"/>
          <w:iCs w:val="false"/>
          <w:color w:val="1B2A4A"/>
          <w:sz w:val="32"/>
          <w:szCs w:val="32"/>
        </w:rPr>
        <w:t xml:space="preserve">1.  Contexte et objectifs</w:t>
      </w:r>
    </w:p>
    <w:p>
      <w:pPr>
        <w:pBdr>
          <w:left w:val="single" w:color="2E5FA3" w:sz="16" w:space="8"/>
        </w:pBdr>
        <w:spacing w:after="120" w:before="0"/>
        <w:ind w:left="240"/>
      </w:pPr>
      <w:r>
        <w:rPr>
          <w:rFonts w:ascii="Calibri" w:cs="Calibri" w:eastAsia="Calibri" w:hAnsi="Calibri"/>
          <w:b w:val="false"/>
          <w:bCs w:val="false"/>
          <w:i w:val="false"/>
          <w:iCs w:val="false"/>
          <w:color w:val="1A1A1A"/>
          <w:sz w:val="21"/>
          <w:szCs w:val="21"/>
        </w:rPr>
        <w:t xml:space="preserve">EduTutor IA est une plateforme d'apprentissage augmentee par intelligence artificielle, developpee dans le cadre du hackathon APOCAL'IPSSI 2026. Le projet s'appuie sur un kit technique Django + React + PostgreSQL + Ollama et propose la generation automatique de quiz pedagogiques a partir de documents PDF ou de textes.</w:t>
      </w:r>
    </w:p>
    <w:p>
      <w:pPr>
        <w:spacing w:after="60" w:before="0"/>
      </w:pPr>
      <w:r>
        <w:rPr>
          <w:rFonts w:ascii="Calibri" w:cs="Calibri" w:eastAsia="Calibri" w:hAnsi="Calibri"/>
          <w:b w:val="false"/>
          <w:bCs w:val="false"/>
          <w:i w:val="false"/>
          <w:iCs w:val="false"/>
          <w:color w:val="1A1A1A"/>
          <w:sz w:val="20"/>
          <w:szCs w:val="20"/>
        </w:rPr>
        <w:t xml:space="preserve"/>
      </w:r>
    </w:p>
    <w:p>
      <w:pPr>
        <w:spacing w:after="200" w:before="0"/>
        <w:jc w:val="left"/>
      </w:pPr>
      <w:r>
        <w:rPr>
          <w:rFonts w:ascii="Calibri" w:cs="Calibri" w:eastAsia="Calibri" w:hAnsi="Calibri"/>
          <w:b w:val="false"/>
          <w:bCs w:val="false"/>
          <w:i w:val="false"/>
          <w:iCs w:val="false"/>
          <w:color w:val="1A1A1A"/>
          <w:sz w:val="21"/>
          <w:szCs w:val="21"/>
        </w:rPr>
        <w:t xml:space="preserve">Ce document cartographie l'experience de chacun des trois personas identifies, depuis la decouverte du produit jusqu'a la fidelisation. Il constitue la reference produit de l'equipe pour toutes les decisions de priorisation et de conception.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100" w:before="0"/>
              <w:jc w:val="left"/>
            </w:pPr>
            <w:r>
              <w:rPr>
                <w:rFonts w:ascii="Calibri" w:cs="Calibri" w:eastAsia="Calibri" w:hAnsi="Calibri"/>
                <w:b/>
                <w:bCs/>
                <w:i w:val="false"/>
                <w:iCs w:val="false"/>
                <w:color w:val="2E5FA3"/>
                <w:sz w:val="21"/>
                <w:szCs w:val="21"/>
              </w:rPr>
              <w:t xml:space="preserve">Objectifs produit</w:t>
            </w:r>
          </w:p>
          <w:p>
            <w:pPr>
              <w:spacing w:after="60" w:before="0"/>
              <w:jc w:val="left"/>
            </w:pPr>
            <w:r>
              <w:rPr>
                <w:rFonts w:ascii="Calibri" w:cs="Calibri" w:eastAsia="Calibri" w:hAnsi="Calibri"/>
                <w:b w:val="false"/>
                <w:bCs w:val="false"/>
                <w:i w:val="false"/>
                <w:iCs w:val="false"/>
                <w:color w:val="1A1A1A"/>
                <w:sz w:val="20"/>
                <w:szCs w:val="20"/>
              </w:rPr>
              <w:t xml:space="preserve">- Reduire le temps de preparation des revisions pour les etudiants</w:t>
            </w:r>
          </w:p>
          <w:p>
            <w:pPr>
              <w:spacing w:after="60" w:before="0"/>
              <w:jc w:val="left"/>
            </w:pPr>
            <w:r>
              <w:rPr>
                <w:rFonts w:ascii="Calibri" w:cs="Calibri" w:eastAsia="Calibri" w:hAnsi="Calibri"/>
                <w:b w:val="false"/>
                <w:bCs w:val="false"/>
                <w:i w:val="false"/>
                <w:iCs w:val="false"/>
                <w:color w:val="1A1A1A"/>
                <w:sz w:val="20"/>
                <w:szCs w:val="20"/>
              </w:rPr>
              <w:t xml:space="preserve">- Automatiser la creation et la correction des quiz pour les enseignants</w:t>
            </w:r>
          </w:p>
          <w:p>
            <w:pPr>
              <w:spacing w:after="60" w:before="0"/>
              <w:jc w:val="left"/>
            </w:pPr>
            <w:r>
              <w:rPr>
                <w:rFonts w:ascii="Calibri" w:cs="Calibri" w:eastAsia="Calibri" w:hAnsi="Calibri"/>
                <w:b w:val="false"/>
                <w:bCs w:val="false"/>
                <w:i w:val="false"/>
                <w:iCs w:val="false"/>
                <w:color w:val="1A1A1A"/>
                <w:sz w:val="20"/>
                <w:szCs w:val="20"/>
              </w:rPr>
              <w:t xml:space="preserve">- Fournir un outil 100 % RGPD et souverain pour les etablissements</w:t>
            </w:r>
          </w:p>
          <w:p>
            <w:pPr>
              <w:spacing w:after="0" w:before="0"/>
              <w:jc w:val="left"/>
            </w:pPr>
            <w:r>
              <w:rPr>
                <w:rFonts w:ascii="Calibri" w:cs="Calibri" w:eastAsia="Calibri" w:hAnsi="Calibri"/>
                <w:b w:val="false"/>
                <w:bCs w:val="false"/>
                <w:i w:val="false"/>
                <w:iCs w:val="false"/>
                <w:color w:val="1A1A1A"/>
                <w:sz w:val="20"/>
                <w:szCs w:val="20"/>
              </w:rPr>
              <w:t xml:space="preserve">- Atteindre 30 % d'adoption enseignante des la version 1</w:t>
            </w:r>
          </w:p>
        </w:tc>
        <w:tc>
          <w:tcPr>
            <w:tcW w:type="dxa" w:w="48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100" w:before="0"/>
              <w:jc w:val="left"/>
            </w:pPr>
            <w:r>
              <w:rPr>
                <w:rFonts w:ascii="Calibri" w:cs="Calibri" w:eastAsia="Calibri" w:hAnsi="Calibri"/>
                <w:b/>
                <w:bCs/>
                <w:i w:val="false"/>
                <w:iCs w:val="false"/>
                <w:color w:val="2E5FA3"/>
                <w:sz w:val="21"/>
                <w:szCs w:val="21"/>
              </w:rPr>
              <w:t xml:space="preserve">Perimetre technique (kit de demarrage)</w:t>
            </w:r>
          </w:p>
          <w:p>
            <w:pPr>
              <w:spacing w:after="60" w:before="0"/>
              <w:jc w:val="left"/>
            </w:pPr>
            <w:r>
              <w:rPr>
                <w:rFonts w:ascii="Calibri" w:cs="Calibri" w:eastAsia="Calibri" w:hAnsi="Calibri"/>
                <w:b w:val="false"/>
                <w:bCs w:val="false"/>
                <w:i w:val="false"/>
                <w:iCs w:val="false"/>
                <w:color w:val="1A1A1A"/>
                <w:sz w:val="20"/>
                <w:szCs w:val="20"/>
              </w:rPr>
              <w:t xml:space="preserve">- Authentification email (inscription, reinitialisation, profil)</w:t>
            </w:r>
          </w:p>
          <w:p>
            <w:pPr>
              <w:spacing w:after="60" w:before="0"/>
              <w:jc w:val="left"/>
            </w:pPr>
            <w:r>
              <w:rPr>
                <w:rFonts w:ascii="Calibri" w:cs="Calibri" w:eastAsia="Calibri" w:hAnsi="Calibri"/>
                <w:b w:val="false"/>
                <w:bCs w:val="false"/>
                <w:i w:val="false"/>
                <w:iCs w:val="false"/>
                <w:color w:val="1A1A1A"/>
                <w:sz w:val="20"/>
                <w:szCs w:val="20"/>
              </w:rPr>
              <w:t xml:space="preserve">- Endpoint LLM multi-fournisseurs — 9 backends disponibles</w:t>
            </w:r>
          </w:p>
          <w:p>
            <w:pPr>
              <w:spacing w:after="60" w:before="0"/>
              <w:jc w:val="left"/>
            </w:pPr>
            <w:r>
              <w:rPr>
                <w:rFonts w:ascii="Calibri" w:cs="Calibri" w:eastAsia="Calibri" w:hAnsi="Calibri"/>
                <w:b w:val="false"/>
                <w:bCs w:val="false"/>
                <w:i w:val="false"/>
                <w:iCs w:val="false"/>
                <w:color w:val="1A1A1A"/>
                <w:sz w:val="20"/>
                <w:szCs w:val="20"/>
              </w:rPr>
              <w:t xml:space="preserve">- Frontend React 18 + Vite + TypeScript, routes pre-cablees</w:t>
            </w:r>
          </w:p>
          <w:p>
            <w:pPr>
              <w:spacing w:after="0" w:before="0"/>
              <w:jc w:val="left"/>
            </w:pPr>
            <w:r>
              <w:rPr>
                <w:rFonts w:ascii="Calibri" w:cs="Calibri" w:eastAsia="Calibri" w:hAnsi="Calibri"/>
                <w:b w:val="false"/>
                <w:bCs w:val="false"/>
                <w:i w:val="false"/>
                <w:iCs w:val="false"/>
                <w:color w:val="1A1A1A"/>
                <w:sz w:val="20"/>
                <w:szCs w:val="20"/>
              </w:rPr>
              <w:t xml:space="preserve">- Back-office admin Django + tableau de bord de progression</w:t>
            </w:r>
          </w:p>
        </w:tc>
      </w:tr>
    </w:tbl>
    <w:p>
      <w:r>
        <w:br w:type="page"/>
      </w:r>
    </w:p>
    <w:p>
      <w:pPr>
        <w:spacing w:after="160" w:before="0"/>
        <w:jc w:val="left"/>
      </w:pPr>
      <w:r>
        <w:rPr>
          <w:rFonts w:ascii="Calibri" w:cs="Calibri" w:eastAsia="Calibri" w:hAnsi="Calibri"/>
          <w:b/>
          <w:bCs/>
          <w:i w:val="false"/>
          <w:iCs w:val="false"/>
          <w:color w:val="1B2A4A"/>
          <w:sz w:val="32"/>
          <w:szCs w:val="32"/>
        </w:rPr>
        <w:t xml:space="preserve">2.  Portraits utilisateurs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00"/>
              <w:bottom w:type="dxa" w:w="180"/>
              <w:right w:type="dxa" w:w="300"/>
            </w:tcMar>
            <w:vAlign w:val="top"/>
          </w:tcPr>
          <w:p>
            <w:pPr>
              <w:spacing w:after="20" w:before="0"/>
              <w:jc w:val="left"/>
            </w:pPr>
            <w:r>
              <w:rPr>
                <w:rFonts w:ascii="Calibri" w:cs="Calibri" w:eastAsia="Calibri" w:hAnsi="Calibri"/>
                <w:b/>
                <w:bCs/>
                <w:i w:val="false"/>
                <w:iCs w:val="false"/>
                <w:color w:val="B8CCE8"/>
                <w:sz w:val="18"/>
                <w:szCs w:val="18"/>
              </w:rPr>
              <w:t xml:space="preserve">PERSONA PRIMAIRE</w:t>
            </w:r>
          </w:p>
          <w:p>
            <w:pPr>
              <w:spacing w:after="40" w:before="0"/>
              <w:jc w:val="left"/>
            </w:pPr>
            <w:r>
              <w:rPr>
                <w:rFonts w:ascii="Calibri" w:cs="Calibri" w:eastAsia="Calibri" w:hAnsi="Calibri"/>
                <w:b/>
                <w:bCs/>
                <w:i w:val="false"/>
                <w:iCs w:val="false"/>
                <w:color w:val="FFFFFF"/>
                <w:sz w:val="28"/>
                <w:szCs w:val="28"/>
              </w:rPr>
              <w:t xml:space="preserve">Lea Martin — L'Etudiante</w:t>
            </w:r>
          </w:p>
          <w:p>
            <w:pPr>
              <w:spacing w:after="0" w:before="0"/>
              <w:jc w:val="left"/>
            </w:pPr>
            <w:r>
              <w:rPr>
                <w:rFonts w:ascii="Calibri" w:cs="Calibri" w:eastAsia="Calibri" w:hAnsi="Calibri"/>
                <w:b w:val="false"/>
                <w:bCs w:val="false"/>
                <w:i/>
                <w:iCs/>
                <w:color w:val="C8D8EF"/>
                <w:sz w:val="20"/>
                <w:szCs w:val="20"/>
              </w:rPr>
              <w:t xml:space="preserve">20 ans · L2 Droit · Paris II Pantheon-Assas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2E5FA3"/>
                <w:sz w:val="20"/>
                <w:szCs w:val="20"/>
              </w:rPr>
              <w:t xml:space="preserve">Contexte d'usage</w:t>
            </w:r>
          </w:p>
          <w:p>
            <w:pPr>
              <w:spacing w:after="120" w:before="0"/>
              <w:jc w:val="left"/>
            </w:pPr>
            <w:r>
              <w:rPr>
                <w:rFonts w:ascii="Calibri" w:cs="Calibri" w:eastAsia="Calibri" w:hAnsi="Calibri"/>
                <w:b w:val="false"/>
                <w:bCs w:val="false"/>
                <w:i w:val="false"/>
                <w:iCs w:val="false"/>
                <w:color w:val="1A1A1A"/>
                <w:sz w:val="19"/>
                <w:szCs w:val="19"/>
              </w:rPr>
              <w:t xml:space="preserve">Boursiere, colocation, revise 8 h/semaine principalement dans le RER avec un smartphone Android. Pas d'ordinateur personnel. Allergique aux configurations techniques.</w:t>
            </w:r>
          </w:p>
          <w:p>
            <w:pPr>
              <w:spacing w:after="80" w:before="0"/>
              <w:jc w:val="left"/>
            </w:pPr>
            <w:r>
              <w:rPr>
                <w:rFonts w:ascii="Calibri" w:cs="Calibri" w:eastAsia="Calibri" w:hAnsi="Calibri"/>
                <w:b/>
                <w:bCs/>
                <w:i w:val="false"/>
                <w:iCs w:val="false"/>
                <w:color w:val="2E5FA3"/>
                <w:sz w:val="20"/>
                <w:szCs w:val="20"/>
              </w:rPr>
              <w:t xml:space="preserve">Citation representative</w:t>
            </w:r>
          </w:p>
          <w:p>
            <w:pPr>
              <w:pBdr>
                <w:left w:val="single" w:color="2E5FA3" w:sz="12" w:space="6"/>
              </w:pBdr>
              <w:spacing w:after="0" w:before="0"/>
              <w:ind w:left="180"/>
            </w:pPr>
            <w:r>
              <w:rPr>
                <w:rFonts w:ascii="Calibri" w:cs="Calibri" w:eastAsia="Calibri" w:hAnsi="Calibri"/>
                <w:b w:val="false"/>
                <w:bCs w:val="false"/>
                <w:i/>
                <w:iCs/>
                <w:color w:val="1A1A1A"/>
                <w:sz w:val="19"/>
                <w:szCs w:val="19"/>
              </w:rPr>
              <w:t xml:space="preserve">« Je veux reviser efficacement sans perdre de temps a chercher ou creer des fiches, et etre sure de mon niveau avant les examens. »</w:t>
            </w:r>
          </w:p>
        </w:tc>
        <w:tc>
          <w:tcPr>
            <w:tcW w:type="dxa" w:w="308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2E5FA3"/>
                <w:sz w:val="20"/>
                <w:szCs w:val="20"/>
              </w:rPr>
              <w:t xml:space="preserve">Frustrations principales</w:t>
            </w:r>
          </w:p>
          <w:p>
            <w:pPr>
              <w:spacing w:after="60" w:before="0"/>
              <w:jc w:val="left"/>
            </w:pPr>
            <w:r>
              <w:rPr>
                <w:rFonts w:ascii="Calibri" w:cs="Calibri" w:eastAsia="Calibri" w:hAnsi="Calibri"/>
                <w:b w:val="false"/>
                <w:bCs w:val="false"/>
                <w:i w:val="false"/>
                <w:iCs w:val="false"/>
                <w:color w:val="1A1A1A"/>
                <w:sz w:val="19"/>
                <w:szCs w:val="19"/>
              </w:rPr>
              <w:t xml:space="preserve">- Perd environ 3 h/semaine a rechercher des fiches de qualite variable sur le web</w:t>
            </w:r>
          </w:p>
          <w:p>
            <w:pPr>
              <w:spacing w:after="60" w:before="0"/>
              <w:jc w:val="left"/>
            </w:pPr>
            <w:r>
              <w:rPr>
                <w:rFonts w:ascii="Calibri" w:cs="Calibri" w:eastAsia="Calibri" w:hAnsi="Calibri"/>
                <w:b w:val="false"/>
                <w:bCs w:val="false"/>
                <w:i w:val="false"/>
                <w:iCs w:val="false"/>
                <w:color w:val="1A1A1A"/>
                <w:sz w:val="19"/>
                <w:szCs w:val="19"/>
              </w:rPr>
              <w:t xml:space="preserve">- Aucun plan de revision personnalise avant les partiels</w:t>
            </w:r>
          </w:p>
          <w:p>
            <w:pPr>
              <w:spacing w:after="60" w:before="0"/>
              <w:jc w:val="left"/>
            </w:pPr>
            <w:r>
              <w:rPr>
                <w:rFonts w:ascii="Calibri" w:cs="Calibri" w:eastAsia="Calibri" w:hAnsi="Calibri"/>
                <w:b w:val="false"/>
                <w:bCs w:val="false"/>
                <w:i w:val="false"/>
                <w:iCs w:val="false"/>
                <w:color w:val="1A1A1A"/>
                <w:sz w:val="19"/>
                <w:szCs w:val="19"/>
              </w:rPr>
              <w:t xml:space="preserve">- Incapable de mesurer reellement ses lacunes par chapitre</w:t>
            </w:r>
          </w:p>
        </w:tc>
        <w:tc>
          <w:tcPr>
            <w:tcW w:type="dxa" w:w="308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2E5FA3"/>
                <w:sz w:val="20"/>
                <w:szCs w:val="20"/>
              </w:rPr>
              <w:t xml:space="preserve">Objectifs (gains attendus)</w:t>
            </w:r>
          </w:p>
          <w:p>
            <w:pPr>
              <w:spacing w:after="60" w:before="0"/>
              <w:jc w:val="left"/>
            </w:pPr>
            <w:r>
              <w:rPr>
                <w:rFonts w:ascii="Calibri" w:cs="Calibri" w:eastAsia="Calibri" w:hAnsi="Calibri"/>
                <w:b w:val="false"/>
                <w:bCs w:val="false"/>
                <w:i w:val="false"/>
                <w:iCs w:val="false"/>
                <w:color w:val="1A1A1A"/>
                <w:sz w:val="19"/>
                <w:szCs w:val="19"/>
              </w:rPr>
              <w:t xml:space="preserve">- Generer un quiz en moins de 5 min sur n'importe quel chapitre</w:t>
            </w:r>
          </w:p>
          <w:p>
            <w:pPr>
              <w:spacing w:after="60" w:before="0"/>
              <w:jc w:val="left"/>
            </w:pPr>
            <w:r>
              <w:rPr>
                <w:rFonts w:ascii="Calibri" w:cs="Calibri" w:eastAsia="Calibri" w:hAnsi="Calibri"/>
                <w:b w:val="false"/>
                <w:bCs w:val="false"/>
                <w:i w:val="false"/>
                <w:iCs w:val="false"/>
                <w:color w:val="1A1A1A"/>
                <w:sz w:val="19"/>
                <w:szCs w:val="19"/>
              </w:rPr>
              <w:t xml:space="preserve">- Identifier ses lacunes 2 semaines avant les examens</w:t>
            </w:r>
          </w:p>
          <w:p>
            <w:pPr>
              <w:spacing w:after="60" w:before="0"/>
              <w:jc w:val="left"/>
            </w:pPr>
            <w:r>
              <w:rPr>
                <w:rFonts w:ascii="Calibri" w:cs="Calibri" w:eastAsia="Calibri" w:hAnsi="Calibri"/>
                <w:b w:val="false"/>
                <w:bCs w:val="false"/>
                <w:i w:val="false"/>
                <w:iCs w:val="false"/>
                <w:color w:val="1A1A1A"/>
                <w:sz w:val="19"/>
                <w:szCs w:val="19"/>
              </w:rPr>
              <w:t xml:space="preserve">- Gagner environ 2 h/semaine sur la recherche de supports</w:t>
            </w:r>
          </w:p>
        </w:tc>
      </w:tr>
    </w:tbl>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34F5C" w:val="clear"/>
            <w:tcMar>
              <w:top w:type="dxa" w:w="180"/>
              <w:left w:type="dxa" w:w="300"/>
              <w:bottom w:type="dxa" w:w="180"/>
              <w:right w:type="dxa" w:w="300"/>
            </w:tcMar>
            <w:vAlign w:val="top"/>
          </w:tcPr>
          <w:p>
            <w:pPr>
              <w:spacing w:after="20" w:before="0"/>
              <w:jc w:val="left"/>
            </w:pPr>
            <w:r>
              <w:rPr>
                <w:rFonts w:ascii="Calibri" w:cs="Calibri" w:eastAsia="Calibri" w:hAnsi="Calibri"/>
                <w:b/>
                <w:bCs/>
                <w:i w:val="false"/>
                <w:iCs w:val="false"/>
                <w:color w:val="B8CCE8"/>
                <w:sz w:val="18"/>
                <w:szCs w:val="18"/>
              </w:rPr>
              <w:t xml:space="preserve">PERSONA SECONDAIRE</w:t>
            </w:r>
          </w:p>
          <w:p>
            <w:pPr>
              <w:spacing w:after="40" w:before="0"/>
              <w:jc w:val="left"/>
            </w:pPr>
            <w:r>
              <w:rPr>
                <w:rFonts w:ascii="Calibri" w:cs="Calibri" w:eastAsia="Calibri" w:hAnsi="Calibri"/>
                <w:b/>
                <w:bCs/>
                <w:i w:val="false"/>
                <w:iCs w:val="false"/>
                <w:color w:val="FFFFFF"/>
                <w:sz w:val="28"/>
                <w:szCs w:val="28"/>
              </w:rPr>
              <w:t xml:space="preserve">Mme Sophie Lefevre — L'Enseignante</w:t>
            </w:r>
          </w:p>
          <w:p>
            <w:pPr>
              <w:spacing w:after="0" w:before="0"/>
              <w:jc w:val="left"/>
            </w:pPr>
            <w:r>
              <w:rPr>
                <w:rFonts w:ascii="Calibri" w:cs="Calibri" w:eastAsia="Calibri" w:hAnsi="Calibri"/>
                <w:b w:val="false"/>
                <w:bCs w:val="false"/>
                <w:i/>
                <w:iCs/>
                <w:color w:val="C8D8EF"/>
                <w:sz w:val="20"/>
                <w:szCs w:val="20"/>
              </w:rPr>
              <w:t xml:space="preserve">42 ans · Professeure BTS Communication · Lycee prive, Lyon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A6B7A"/>
                <w:sz w:val="20"/>
                <w:szCs w:val="20"/>
              </w:rPr>
              <w:t xml:space="preserve">Contexte d'usage</w:t>
            </w:r>
          </w:p>
          <w:p>
            <w:pPr>
              <w:spacing w:after="120" w:before="0"/>
              <w:jc w:val="left"/>
            </w:pPr>
            <w:r>
              <w:rPr>
                <w:rFonts w:ascii="Calibri" w:cs="Calibri" w:eastAsia="Calibri" w:hAnsi="Calibri"/>
                <w:b w:val="false"/>
                <w:bCs w:val="false"/>
                <w:i w:val="false"/>
                <w:iCs w:val="false"/>
                <w:color w:val="1A1A1A"/>
                <w:sz w:val="19"/>
                <w:szCs w:val="19"/>
              </w:rPr>
              <w:t xml:space="preserve">Mariee, 2 enfants. Gere 28 etudiants. 12 h de correction de quiz par mois. Utilisatrice autonome de Word, Excel, Moodle et Pronote. Allergique aux installations techniques.</w:t>
            </w:r>
          </w:p>
          <w:p>
            <w:pPr>
              <w:spacing w:after="80" w:before="0"/>
              <w:jc w:val="left"/>
            </w:pPr>
            <w:r>
              <w:rPr>
                <w:rFonts w:ascii="Calibri" w:cs="Calibri" w:eastAsia="Calibri" w:hAnsi="Calibri"/>
                <w:b/>
                <w:bCs/>
                <w:i w:val="false"/>
                <w:iCs w:val="false"/>
                <w:color w:val="1A6B7A"/>
                <w:sz w:val="20"/>
                <w:szCs w:val="20"/>
              </w:rPr>
              <w:t xml:space="preserve">Citation representative</w:t>
            </w:r>
          </w:p>
          <w:p>
            <w:pPr>
              <w:pBdr>
                <w:left w:val="single" w:color="1A6B7A" w:sz="12" w:space="6"/>
              </w:pBdr>
              <w:spacing w:after="0" w:before="0"/>
              <w:ind w:left="180"/>
            </w:pPr>
            <w:r>
              <w:rPr>
                <w:rFonts w:ascii="Calibri" w:cs="Calibri" w:eastAsia="Calibri" w:hAnsi="Calibri"/>
                <w:b w:val="false"/>
                <w:bCs w:val="false"/>
                <w:i/>
                <w:iCs/>
                <w:color w:val="1A1A1A"/>
                <w:sz w:val="19"/>
                <w:szCs w:val="19"/>
              </w:rPr>
              <w:t xml:space="preserve">« Je veux evaluer mes eleves de maniere personnalisee et variee, sans que la logistique et la correction ne prennent tout mon temps libre. »</w:t>
            </w:r>
          </w:p>
        </w:tc>
        <w:tc>
          <w:tcPr>
            <w:tcW w:type="dxa" w:w="3080"/>
            <w:tcBorders>
              <w:top w:val="single" w:color="1A6B7A" w:sz="4"/>
              <w:left w:val="single" w:color="1A6B7A" w:sz="4"/>
              <w:bottom w:val="single" w:color="1A6B7A" w:sz="4"/>
              <w:right w:val="single" w:color="1A6B7A" w:sz="4"/>
            </w:tcBorders>
            <w:shd w:fill="E5F4F6"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A6B7A"/>
                <w:sz w:val="20"/>
                <w:szCs w:val="20"/>
              </w:rPr>
              <w:t xml:space="preserve">Frustrations principales</w:t>
            </w:r>
          </w:p>
          <w:p>
            <w:pPr>
              <w:spacing w:after="60" w:before="0"/>
              <w:jc w:val="left"/>
            </w:pPr>
            <w:r>
              <w:rPr>
                <w:rFonts w:ascii="Calibri" w:cs="Calibri" w:eastAsia="Calibri" w:hAnsi="Calibri"/>
                <w:b w:val="false"/>
                <w:bCs w:val="false"/>
                <w:i w:val="false"/>
                <w:iCs w:val="false"/>
                <w:color w:val="1A1A1A"/>
                <w:sz w:val="19"/>
                <w:szCs w:val="19"/>
              </w:rPr>
              <w:t xml:space="preserve">- 28 copies x 3 quiz/semaine = environ 12 h de correction par mois</w:t>
            </w:r>
          </w:p>
          <w:p>
            <w:pPr>
              <w:spacing w:after="60" w:before="0"/>
              <w:jc w:val="left"/>
            </w:pPr>
            <w:r>
              <w:rPr>
                <w:rFonts w:ascii="Calibri" w:cs="Calibri" w:eastAsia="Calibri" w:hAnsi="Calibri"/>
                <w:b w:val="false"/>
                <w:bCs w:val="false"/>
                <w:i w:val="false"/>
                <w:iCs w:val="false"/>
                <w:color w:val="1A1A1A"/>
                <w:sz w:val="19"/>
                <w:szCs w:val="19"/>
              </w:rPr>
              <w:t xml:space="preserve">- Creer 1 quiz coherent prend en moyenne 90 minutes</w:t>
            </w:r>
          </w:p>
          <w:p>
            <w:pPr>
              <w:spacing w:after="60" w:before="0"/>
              <w:jc w:val="left"/>
            </w:pPr>
            <w:r>
              <w:rPr>
                <w:rFonts w:ascii="Calibri" w:cs="Calibri" w:eastAsia="Calibri" w:hAnsi="Calibri"/>
                <w:b w:val="false"/>
                <w:bCs w:val="false"/>
                <w:i w:val="false"/>
                <w:iCs w:val="false"/>
                <w:color w:val="1A1A1A"/>
                <w:sz w:val="19"/>
                <w:szCs w:val="19"/>
              </w:rPr>
              <w:t xml:space="preserve">- Les etudiants se partagent les reponses entre les groupes</w:t>
            </w:r>
          </w:p>
        </w:tc>
        <w:tc>
          <w:tcPr>
            <w:tcW w:type="dxa" w:w="3080"/>
            <w:tcBorders>
              <w:top w:val="single" w:color="1A6B7A" w:sz="4"/>
              <w:left w:val="single" w:color="1A6B7A" w:sz="4"/>
              <w:bottom w:val="single" w:color="1A6B7A" w:sz="4"/>
              <w:right w:val="single" w:color="1A6B7A" w:sz="4"/>
            </w:tcBorders>
            <w:shd w:fill="E5F4F6"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1A6B7A"/>
                <w:sz w:val="20"/>
                <w:szCs w:val="20"/>
              </w:rPr>
              <w:t xml:space="preserve">Objectifs (gains attendus)</w:t>
            </w:r>
          </w:p>
          <w:p>
            <w:pPr>
              <w:spacing w:after="60" w:before="0"/>
              <w:jc w:val="left"/>
            </w:pPr>
            <w:r>
              <w:rPr>
                <w:rFonts w:ascii="Calibri" w:cs="Calibri" w:eastAsia="Calibri" w:hAnsi="Calibri"/>
                <w:b w:val="false"/>
                <w:bCs w:val="false"/>
                <w:i w:val="false"/>
                <w:iCs w:val="false"/>
                <w:color w:val="1A1A1A"/>
                <w:sz w:val="19"/>
                <w:szCs w:val="19"/>
              </w:rPr>
              <w:t xml:space="preserve">- Generer 1 quiz personnalise en moins de 5 min par chapitre</w:t>
            </w:r>
          </w:p>
          <w:p>
            <w:pPr>
              <w:spacing w:after="60" w:before="0"/>
              <w:jc w:val="left"/>
            </w:pPr>
            <w:r>
              <w:rPr>
                <w:rFonts w:ascii="Calibri" w:cs="Calibri" w:eastAsia="Calibri" w:hAnsi="Calibri"/>
                <w:b w:val="false"/>
                <w:bCs w:val="false"/>
                <w:i w:val="false"/>
                <w:iCs w:val="false"/>
                <w:color w:val="1A1A1A"/>
                <w:sz w:val="19"/>
                <w:szCs w:val="19"/>
              </w:rPr>
              <w:t xml:space="preserve">- Varier les niveaux et types de questions (QCM, vrai/faux)</w:t>
            </w:r>
          </w:p>
          <w:p>
            <w:pPr>
              <w:spacing w:after="60" w:before="0"/>
              <w:jc w:val="left"/>
            </w:pPr>
            <w:r>
              <w:rPr>
                <w:rFonts w:ascii="Calibri" w:cs="Calibri" w:eastAsia="Calibri" w:hAnsi="Calibri"/>
                <w:b w:val="false"/>
                <w:bCs w:val="false"/>
                <w:i w:val="false"/>
                <w:iCs w:val="false"/>
                <w:color w:val="1A1A1A"/>
                <w:sz w:val="19"/>
                <w:szCs w:val="19"/>
              </w:rPr>
              <w:t xml:space="preserve">- Exporter en Word pour une impression immediate</w:t>
            </w:r>
          </w:p>
        </w:tc>
      </w:tr>
    </w:tbl>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350F" w:val="clear"/>
            <w:tcMar>
              <w:top w:type="dxa" w:w="180"/>
              <w:left w:type="dxa" w:w="300"/>
              <w:bottom w:type="dxa" w:w="180"/>
              <w:right w:type="dxa" w:w="300"/>
            </w:tcMar>
            <w:vAlign w:val="top"/>
          </w:tcPr>
          <w:p>
            <w:pPr>
              <w:spacing w:after="20" w:before="0"/>
              <w:jc w:val="left"/>
            </w:pPr>
            <w:r>
              <w:rPr>
                <w:rFonts w:ascii="Calibri" w:cs="Calibri" w:eastAsia="Calibri" w:hAnsi="Calibri"/>
                <w:b/>
                <w:bCs/>
                <w:i w:val="false"/>
                <w:iCs w:val="false"/>
                <w:color w:val="B8CCE8"/>
                <w:sz w:val="18"/>
                <w:szCs w:val="18"/>
              </w:rPr>
              <w:t xml:space="preserve">PERSONA TERTIAIRE — ACHETEUR</w:t>
            </w:r>
          </w:p>
          <w:p>
            <w:pPr>
              <w:spacing w:after="40" w:before="0"/>
              <w:jc w:val="left"/>
            </w:pPr>
            <w:r>
              <w:rPr>
                <w:rFonts w:ascii="Calibri" w:cs="Calibri" w:eastAsia="Calibri" w:hAnsi="Calibri"/>
                <w:b/>
                <w:bCs/>
                <w:i w:val="false"/>
                <w:iCs w:val="false"/>
                <w:color w:val="FFFFFF"/>
                <w:sz w:val="28"/>
                <w:szCs w:val="28"/>
              </w:rPr>
              <w:t xml:space="preserve">M. David Chen — Le Directeur</w:t>
            </w:r>
          </w:p>
          <w:p>
            <w:pPr>
              <w:spacing w:after="0" w:before="0"/>
              <w:jc w:val="left"/>
            </w:pPr>
            <w:r>
              <w:rPr>
                <w:rFonts w:ascii="Calibri" w:cs="Calibri" w:eastAsia="Calibri" w:hAnsi="Calibri"/>
                <w:b w:val="false"/>
                <w:bCs w:val="false"/>
                <w:i/>
                <w:iCs/>
                <w:color w:val="C8D8EF"/>
                <w:sz w:val="20"/>
                <w:szCs w:val="20"/>
              </w:rPr>
              <w:t xml:space="preserve">51 ans · Directeur des etudes · Lycee prive 1 200 eleves, Lyon 6e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20"/>
                <w:szCs w:val="20"/>
              </w:rPr>
              <w:t xml:space="preserve">Contexte d'usage</w:t>
            </w:r>
          </w:p>
          <w:p>
            <w:pPr>
              <w:spacing w:after="120" w:before="0"/>
              <w:jc w:val="left"/>
            </w:pPr>
            <w:r>
              <w:rPr>
                <w:rFonts w:ascii="Calibri" w:cs="Calibri" w:eastAsia="Calibri" w:hAnsi="Calibri"/>
                <w:b w:val="false"/>
                <w:bCs w:val="false"/>
                <w:i w:val="false"/>
                <w:iCs w:val="false"/>
                <w:color w:val="1A1A1A"/>
                <w:sz w:val="19"/>
                <w:szCs w:val="19"/>
              </w:rPr>
              <w:t xml:space="preserve">Marie, 25 ans d'experience. Budget EdTech 12 000 EUR/an. Cycle d'achat de 6 mois minimum. DPO de l'etablissement refuse systematiquement les LLM americains.</w:t>
            </w:r>
          </w:p>
          <w:p>
            <w:pPr>
              <w:spacing w:after="80" w:before="0"/>
              <w:jc w:val="left"/>
            </w:pPr>
            <w:r>
              <w:rPr>
                <w:rFonts w:ascii="Calibri" w:cs="Calibri" w:eastAsia="Calibri" w:hAnsi="Calibri"/>
                <w:b/>
                <w:bCs/>
                <w:i w:val="false"/>
                <w:iCs w:val="false"/>
                <w:color w:val="B45309"/>
                <w:sz w:val="20"/>
                <w:szCs w:val="20"/>
              </w:rPr>
              <w:t xml:space="preserve">Citation representative</w:t>
            </w:r>
          </w:p>
          <w:p>
            <w:pPr>
              <w:pBdr>
                <w:left w:val="single" w:color="B45309" w:sz="12" w:space="6"/>
              </w:pBdr>
              <w:spacing w:after="0" w:before="0"/>
              <w:ind w:left="180"/>
            </w:pPr>
            <w:r>
              <w:rPr>
                <w:rFonts w:ascii="Calibri" w:cs="Calibri" w:eastAsia="Calibri" w:hAnsi="Calibri"/>
                <w:b w:val="false"/>
                <w:bCs w:val="false"/>
                <w:i/>
                <w:iCs/>
                <w:color w:val="1A1A1A"/>
                <w:sz w:val="19"/>
                <w:szCs w:val="19"/>
              </w:rPr>
              <w:t xml:space="preserve">« J'ai besoin d'une strategie IA pedagogique moderne, 100 % securisee, previsible financierement et conforme au RGPD. »</w:t>
            </w:r>
          </w:p>
        </w:tc>
        <w:tc>
          <w:tcPr>
            <w:tcW w:type="dxa" w:w="3080"/>
            <w:tcBorders>
              <w:top w:val="single" w:color="B45309" w:sz="4"/>
              <w:left w:val="single" w:color="B45309" w:sz="4"/>
              <w:bottom w:val="single" w:color="B45309" w:sz="4"/>
              <w:right w:val="single" w:color="B45309" w:sz="4"/>
            </w:tcBorders>
            <w:shd w:fill="FEF3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20"/>
                <w:szCs w:val="20"/>
              </w:rPr>
              <w:t xml:space="preserve">Frustrations principales</w:t>
            </w:r>
          </w:p>
          <w:p>
            <w:pPr>
              <w:spacing w:after="60" w:before="0"/>
              <w:jc w:val="left"/>
            </w:pPr>
            <w:r>
              <w:rPr>
                <w:rFonts w:ascii="Calibri" w:cs="Calibri" w:eastAsia="Calibri" w:hAnsi="Calibri"/>
                <w:b w:val="false"/>
                <w:bCs w:val="false"/>
                <w:i w:val="false"/>
                <w:iCs w:val="false"/>
                <w:color w:val="1A1A1A"/>
                <w:sz w:val="19"/>
                <w:szCs w:val="19"/>
              </w:rPr>
              <w:t xml:space="preserve">- Deja engage sur 2 outils EdTech qui ont ensuite ferme (risque de perennite)</w:t>
            </w:r>
          </w:p>
          <w:p>
            <w:pPr>
              <w:spacing w:after="60" w:before="0"/>
              <w:jc w:val="left"/>
            </w:pPr>
            <w:r>
              <w:rPr>
                <w:rFonts w:ascii="Calibri" w:cs="Calibri" w:eastAsia="Calibri" w:hAnsi="Calibri"/>
                <w:b w:val="false"/>
                <w:bCs w:val="false"/>
                <w:i w:val="false"/>
                <w:iCs w:val="false"/>
                <w:color w:val="1A1A1A"/>
                <w:sz w:val="19"/>
                <w:szCs w:val="19"/>
              </w:rPr>
              <w:t xml:space="preserve">- Le DPO interdit OpenAI et tout serveur base aux Etats-Unis</w:t>
            </w:r>
          </w:p>
          <w:p>
            <w:pPr>
              <w:spacing w:after="60" w:before="0"/>
              <w:jc w:val="left"/>
            </w:pPr>
            <w:r>
              <w:rPr>
                <w:rFonts w:ascii="Calibri" w:cs="Calibri" w:eastAsia="Calibri" w:hAnsi="Calibri"/>
                <w:b w:val="false"/>
                <w:bCs w:val="false"/>
                <w:i w:val="false"/>
                <w:iCs w:val="false"/>
                <w:color w:val="1A1A1A"/>
                <w:sz w:val="19"/>
                <w:szCs w:val="19"/>
              </w:rPr>
              <w:t xml:space="preserve">- Pression du conseil d'administration pour afficher une strategie IA</w:t>
            </w:r>
          </w:p>
        </w:tc>
        <w:tc>
          <w:tcPr>
            <w:tcW w:type="dxa" w:w="3080"/>
            <w:tcBorders>
              <w:top w:val="single" w:color="B45309" w:sz="4"/>
              <w:left w:val="single" w:color="B45309" w:sz="4"/>
              <w:bottom w:val="single" w:color="B45309" w:sz="4"/>
              <w:right w:val="single" w:color="B45309" w:sz="4"/>
            </w:tcBorders>
            <w:shd w:fill="FEF3E2"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B45309"/>
                <w:sz w:val="20"/>
                <w:szCs w:val="20"/>
              </w:rPr>
              <w:t xml:space="preserve">Objectifs (gains attendus)</w:t>
            </w:r>
          </w:p>
          <w:p>
            <w:pPr>
              <w:spacing w:after="60" w:before="0"/>
              <w:jc w:val="left"/>
            </w:pPr>
            <w:r>
              <w:rPr>
                <w:rFonts w:ascii="Calibri" w:cs="Calibri" w:eastAsia="Calibri" w:hAnsi="Calibri"/>
                <w:b w:val="false"/>
                <w:bCs w:val="false"/>
                <w:i w:val="false"/>
                <w:iCs w:val="false"/>
                <w:color w:val="1A1A1A"/>
                <w:sz w:val="19"/>
                <w:szCs w:val="19"/>
              </w:rPr>
              <w:t xml:space="preserve">- Validation DPO en moins de 30 min (solution RGPD locale)</w:t>
            </w:r>
          </w:p>
          <w:p>
            <w:pPr>
              <w:spacing w:after="60" w:before="0"/>
              <w:jc w:val="left"/>
            </w:pPr>
            <w:r>
              <w:rPr>
                <w:rFonts w:ascii="Calibri" w:cs="Calibri" w:eastAsia="Calibri" w:hAnsi="Calibri"/>
                <w:b w:val="false"/>
                <w:bCs w:val="false"/>
                <w:i w:val="false"/>
                <w:iCs w:val="false"/>
                <w:color w:val="1A1A1A"/>
                <w:sz w:val="19"/>
                <w:szCs w:val="19"/>
              </w:rPr>
              <w:t xml:space="preserve">- Tarification claire par eleve/an sans surprises de consommation API</w:t>
            </w:r>
          </w:p>
          <w:p>
            <w:pPr>
              <w:spacing w:after="60" w:before="0"/>
              <w:jc w:val="left"/>
            </w:pPr>
            <w:r>
              <w:rPr>
                <w:rFonts w:ascii="Calibri" w:cs="Calibri" w:eastAsia="Calibri" w:hAnsi="Calibri"/>
                <w:b w:val="false"/>
                <w:bCs w:val="false"/>
                <w:i w:val="false"/>
                <w:iCs w:val="false"/>
                <w:color w:val="1A1A1A"/>
                <w:sz w:val="19"/>
                <w:szCs w:val="19"/>
              </w:rPr>
              <w:t xml:space="preserve">- Atteindre 30 % d'adoption enseignante des la premiere annee</w:t>
            </w:r>
          </w:p>
        </w:tc>
      </w:tr>
    </w:tbl>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p>
      <w:r>
        <w:br w:type="page"/>
      </w:r>
    </w:p>
    <w:p>
      <w:pPr>
        <w:spacing w:after="60" w:before="0"/>
        <w:jc w:val="left"/>
      </w:pPr>
      <w:r>
        <w:rPr>
          <w:rFonts w:ascii="Calibri" w:cs="Calibri" w:eastAsia="Calibri" w:hAnsi="Calibri"/>
          <w:b/>
          <w:bCs/>
          <w:i w:val="false"/>
          <w:iCs w:val="false"/>
          <w:color w:val="1B2A4A"/>
          <w:sz w:val="32"/>
          <w:szCs w:val="32"/>
        </w:rPr>
        <w:t xml:space="preserve">3.  Journey Map — Lea Martin (Persona Primaire)</w:t>
      </w:r>
    </w:p>
    <w:p>
      <w:pPr>
        <w:spacing w:after="160" w:before="0"/>
        <w:jc w:val="left"/>
      </w:pPr>
      <w:r>
        <w:rPr>
          <w:rFonts w:ascii="Calibri" w:cs="Calibri" w:eastAsia="Calibri" w:hAnsi="Calibri"/>
          <w:b w:val="false"/>
          <w:bCs w:val="false"/>
          <w:i/>
          <w:iCs/>
          <w:color w:val="6B7280"/>
          <w:sz w:val="21"/>
          <w:szCs w:val="21"/>
        </w:rPr>
        <w:t xml:space="preserve">Etudiante L2 Droit  |  Mobile-first  |  Usage quotidien dans le 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
            </w:r>
          </w:p>
        </w:tc>
        <w:tc>
          <w:tcPr>
            <w:tcW w:type="dxa" w:w="130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1</w:t>
            </w:r>
          </w:p>
          <w:p>
            <w:pPr>
              <w:spacing w:after="80" w:before="0"/>
              <w:jc w:val="center"/>
            </w:pPr>
            <w:r>
              <w:rPr>
                <w:rFonts w:ascii="Calibri" w:cs="Calibri" w:eastAsia="Calibri" w:hAnsi="Calibri"/>
                <w:b w:val="false"/>
                <w:bCs w:val="false"/>
                <w:i/>
                <w:iCs/>
                <w:color w:val="D0E4FF"/>
                <w:sz w:val="18"/>
                <w:szCs w:val="18"/>
              </w:rPr>
              <w:t xml:space="preserve">Decouverte</w:t>
            </w:r>
          </w:p>
        </w:tc>
        <w:tc>
          <w:tcPr>
            <w:tcW w:type="dxa" w:w="130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2</w:t>
            </w:r>
          </w:p>
          <w:p>
            <w:pPr>
              <w:spacing w:after="80" w:before="0"/>
              <w:jc w:val="center"/>
            </w:pPr>
            <w:r>
              <w:rPr>
                <w:rFonts w:ascii="Calibri" w:cs="Calibri" w:eastAsia="Calibri" w:hAnsi="Calibri"/>
                <w:b w:val="false"/>
                <w:bCs w:val="false"/>
                <w:i/>
                <w:iCs/>
                <w:color w:val="D0E4FF"/>
                <w:sz w:val="18"/>
                <w:szCs w:val="18"/>
              </w:rPr>
              <w:t xml:space="preserve">Evaluation</w:t>
            </w:r>
          </w:p>
        </w:tc>
        <w:tc>
          <w:tcPr>
            <w:tcW w:type="dxa" w:w="130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3</w:t>
            </w:r>
          </w:p>
          <w:p>
            <w:pPr>
              <w:spacing w:after="80" w:before="0"/>
              <w:jc w:val="center"/>
            </w:pPr>
            <w:r>
              <w:rPr>
                <w:rFonts w:ascii="Calibri" w:cs="Calibri" w:eastAsia="Calibri" w:hAnsi="Calibri"/>
                <w:b w:val="false"/>
                <w:bCs w:val="false"/>
                <w:i/>
                <w:iCs/>
                <w:color w:val="D0E4FF"/>
                <w:sz w:val="18"/>
                <w:szCs w:val="18"/>
              </w:rPr>
              <w:t xml:space="preserve">Onboarding</w:t>
            </w:r>
          </w:p>
        </w:tc>
        <w:tc>
          <w:tcPr>
            <w:tcW w:type="dxa" w:w="130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4</w:t>
            </w:r>
          </w:p>
          <w:p>
            <w:pPr>
              <w:spacing w:after="80" w:before="0"/>
              <w:jc w:val="center"/>
            </w:pPr>
            <w:r>
              <w:rPr>
                <w:rFonts w:ascii="Calibri" w:cs="Calibri" w:eastAsia="Calibri" w:hAnsi="Calibri"/>
                <w:b w:val="false"/>
                <w:bCs w:val="false"/>
                <w:i/>
                <w:iCs/>
                <w:color w:val="D0E4FF"/>
                <w:sz w:val="18"/>
                <w:szCs w:val="18"/>
              </w:rPr>
              <w:t xml:space="preserve">Usage quotidien</w:t>
            </w:r>
          </w:p>
        </w:tc>
        <w:tc>
          <w:tcPr>
            <w:tcW w:type="dxa" w:w="130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5</w:t>
            </w:r>
          </w:p>
          <w:p>
            <w:pPr>
              <w:spacing w:after="80" w:before="0"/>
              <w:jc w:val="center"/>
            </w:pPr>
            <w:r>
              <w:rPr>
                <w:rFonts w:ascii="Calibri" w:cs="Calibri" w:eastAsia="Calibri" w:hAnsi="Calibri"/>
                <w:b w:val="false"/>
                <w:bCs w:val="false"/>
                <w:i/>
                <w:iCs/>
                <w:color w:val="D0E4FF"/>
                <w:sz w:val="18"/>
                <w:szCs w:val="18"/>
              </w:rPr>
              <w:t xml:space="preserve">Perturbation</w:t>
            </w:r>
          </w:p>
        </w:tc>
        <w:tc>
          <w:tcPr>
            <w:tcW w:type="dxa" w:w="130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6</w:t>
            </w:r>
          </w:p>
          <w:p>
            <w:pPr>
              <w:spacing w:after="80" w:before="0"/>
              <w:jc w:val="center"/>
            </w:pPr>
            <w:r>
              <w:rPr>
                <w:rFonts w:ascii="Calibri" w:cs="Calibri" w:eastAsia="Calibri" w:hAnsi="Calibri"/>
                <w:b w:val="false"/>
                <w:bCs w:val="false"/>
                <w:i/>
                <w:iCs/>
                <w:color w:val="D0E4FF"/>
                <w:sz w:val="18"/>
                <w:szCs w:val="18"/>
              </w:rPr>
              <w:t xml:space="preserve">Fidelisation</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ACTIONS</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Cherche des ressources de revision Droit sur les reseaux. Une camarade partage un lien.</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Consulte la page d'accueil sur son telephone. Compare avec Quizlet et Anki.</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Cree un compte par email. Importe son premier PDF de Droit constitutionnel.</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Lance des quiz dans le RER chaque matin. Consulte son score par chapitre le soir.</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La connexion 4G coupe dans le tunnel. L'application se bloque avant les partiels.</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Retrouve son historique complet. Recommande EduTutor a ses camarades de la BU.</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POINTS DE CONTACT</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Reseaux sociaux, bouche-a-oreille, Discord de promo</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Page d'accueil mobile, demonstration en ligne sans compte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Formulaire d'inscription, email de validation, upload PDF</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Application mobile, tableau de bord de progression</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Message d'erreur dans l'application, support en ligne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Email recapitulatif hebdomadaire, page de partage</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RESSENTI</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Curieuse mais sceptique quant a l'adaptation aux cours de Droit</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Interessee mais prudente : exige une UX parfaite sans ordinateur</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Soulagee par la simplicite du processus d'inscription</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Rassuree et motivee en voyant sa progression chiffree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Stressee et frustrée : un bug peut signifier un abandon definitif</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Fidele et engagee, prete a recommander activement</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POINTS DE FRICTION</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Incertitude sur la pertinence des quiz pour ses cours specifiques</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Pas d'ordinateur : tout doit fonctionner parfaitement sur mobile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Anxiete si l'import PDF est lent ou echoue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Dependance au reseau : le RER coupe frequemment la connexion</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1 bug = abandon definitif (critere exprime par le persona)</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Risque de lassitude si les quiz manquent de variete</w:t>
            </w:r>
          </w:p>
        </w:tc>
      </w:tr>
      <w:tr>
        <w:tc>
          <w:tcPr>
            <w:tcW w:type="dxa" w:w="156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FFFFFF"/>
                <w:sz w:val="18"/>
                <w:szCs w:val="18"/>
              </w:rPr>
              <w:t xml:space="preserve">OPPORTUNITES PRODUIT</w:t>
            </w:r>
          </w:p>
        </w:tc>
        <w:tc>
          <w:tcPr>
            <w:tcW w:type="dxa" w:w="130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Temoignage d'une etudiante similaire (preuve sociale). Mode demo instantane.</w:t>
            </w:r>
          </w:p>
        </w:tc>
        <w:tc>
          <w:tcPr>
            <w:tcW w:type="dxa" w:w="130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Demo sans inscription + badge « Mobile-First » visible en page d'accueil.</w:t>
            </w:r>
          </w:p>
        </w:tc>
        <w:tc>
          <w:tcPr>
            <w:tcW w:type="dxa" w:w="130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Barre de progression en temps reel. Retour immediatement visible (&lt; 10 s).</w:t>
            </w:r>
          </w:p>
        </w:tc>
        <w:tc>
          <w:tcPr>
            <w:tcW w:type="dxa" w:w="130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Cache hors-ligne du dernier quiz genere. Synchronisation automatique au retour reseau.</w:t>
            </w:r>
          </w:p>
        </w:tc>
        <w:tc>
          <w:tcPr>
            <w:tcW w:type="dxa" w:w="130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Mode degrade avec bascule LLM cloud. Message d'etat clair et rassurant.</w:t>
            </w:r>
          </w:p>
        </w:tc>
        <w:tc>
          <w:tcPr>
            <w:tcW w:type="dxa" w:w="1300"/>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Systeme de parrainage inter-promo. Resume de progression partage.</w:t>
            </w:r>
          </w:p>
        </w:tc>
      </w:tr>
    </w:tbl>
    <w:p>
      <w:pPr>
        <w:spacing w:after="60" w:before="0"/>
      </w:pPr>
      <w:r>
        <w:rPr>
          <w:rFonts w:ascii="Calibri" w:cs="Calibri" w:eastAsia="Calibri" w:hAnsi="Calibri"/>
          <w:b w:val="false"/>
          <w:bCs w:val="false"/>
          <w:i w:val="false"/>
          <w:iCs w:val="false"/>
          <w:color w:val="1A1A1A"/>
          <w:sz w:val="20"/>
          <w:szCs w:val="20"/>
        </w:rPr>
        <w:t xml:space="preserve"/>
      </w:r>
    </w:p>
    <w:p>
      <w:r>
        <w:br w:type="page"/>
      </w:r>
    </w:p>
    <w:p>
      <w:pPr>
        <w:spacing w:after="60" w:before="0"/>
        <w:jc w:val="left"/>
      </w:pPr>
      <w:r>
        <w:rPr>
          <w:rFonts w:ascii="Calibri" w:cs="Calibri" w:eastAsia="Calibri" w:hAnsi="Calibri"/>
          <w:b/>
          <w:bCs/>
          <w:i w:val="false"/>
          <w:iCs w:val="false"/>
          <w:color w:val="1A6B7A"/>
          <w:sz w:val="32"/>
          <w:szCs w:val="32"/>
        </w:rPr>
        <w:t xml:space="preserve">4.  Journey Map — Mme Sophie Lefevre (Persona Secondaire)</w:t>
      </w:r>
    </w:p>
    <w:p>
      <w:pPr>
        <w:spacing w:after="160" w:before="0"/>
        <w:jc w:val="left"/>
      </w:pPr>
      <w:r>
        <w:rPr>
          <w:rFonts w:ascii="Calibri" w:cs="Calibri" w:eastAsia="Calibri" w:hAnsi="Calibri"/>
          <w:b w:val="false"/>
          <w:bCs w:val="false"/>
          <w:i/>
          <w:iCs/>
          <w:color w:val="6B7280"/>
          <w:sz w:val="21"/>
          <w:szCs w:val="21"/>
        </w:rPr>
        <w:t xml:space="preserve">Professeure BTS Communication  |  28 etudiants  |  Usage hebdomadaire en classe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
            </w:r>
          </w:p>
        </w:tc>
        <w:tc>
          <w:tcPr>
            <w:tcW w:type="dxa" w:w="1300"/>
            <w:tcBorders>
              <w:top w:val="single" w:color="1A6B7A" w:sz="4"/>
              <w:left w:val="single" w:color="1A6B7A" w:sz="4"/>
              <w:bottom w:val="single" w:color="1A6B7A" w:sz="4"/>
              <w:right w:val="single" w:color="1A6B7A" w:sz="4"/>
            </w:tcBorders>
            <w:shd w:fill="1A6B7A"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1</w:t>
            </w:r>
          </w:p>
          <w:p>
            <w:pPr>
              <w:spacing w:after="80" w:before="0"/>
              <w:jc w:val="center"/>
            </w:pPr>
            <w:r>
              <w:rPr>
                <w:rFonts w:ascii="Calibri" w:cs="Calibri" w:eastAsia="Calibri" w:hAnsi="Calibri"/>
                <w:b w:val="false"/>
                <w:bCs w:val="false"/>
                <w:i/>
                <w:iCs/>
                <w:color w:val="D0E4FF"/>
                <w:sz w:val="18"/>
                <w:szCs w:val="18"/>
              </w:rPr>
              <w:t xml:space="preserve">Decouverte</w:t>
            </w:r>
          </w:p>
        </w:tc>
        <w:tc>
          <w:tcPr>
            <w:tcW w:type="dxa" w:w="1300"/>
            <w:tcBorders>
              <w:top w:val="single" w:color="1A6B7A" w:sz="4"/>
              <w:left w:val="single" w:color="1A6B7A" w:sz="4"/>
              <w:bottom w:val="single" w:color="1A6B7A" w:sz="4"/>
              <w:right w:val="single" w:color="1A6B7A" w:sz="4"/>
            </w:tcBorders>
            <w:shd w:fill="1A6B7A"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2</w:t>
            </w:r>
          </w:p>
          <w:p>
            <w:pPr>
              <w:spacing w:after="80" w:before="0"/>
              <w:jc w:val="center"/>
            </w:pPr>
            <w:r>
              <w:rPr>
                <w:rFonts w:ascii="Calibri" w:cs="Calibri" w:eastAsia="Calibri" w:hAnsi="Calibri"/>
                <w:b w:val="false"/>
                <w:bCs w:val="false"/>
                <w:i/>
                <w:iCs/>
                <w:color w:val="D0E4FF"/>
                <w:sz w:val="18"/>
                <w:szCs w:val="18"/>
              </w:rPr>
              <w:t xml:space="preserve">Evaluation</w:t>
            </w:r>
          </w:p>
        </w:tc>
        <w:tc>
          <w:tcPr>
            <w:tcW w:type="dxa" w:w="1300"/>
            <w:tcBorders>
              <w:top w:val="single" w:color="1A6B7A" w:sz="4"/>
              <w:left w:val="single" w:color="1A6B7A" w:sz="4"/>
              <w:bottom w:val="single" w:color="1A6B7A" w:sz="4"/>
              <w:right w:val="single" w:color="1A6B7A" w:sz="4"/>
            </w:tcBorders>
            <w:shd w:fill="1A6B7A"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3</w:t>
            </w:r>
          </w:p>
          <w:p>
            <w:pPr>
              <w:spacing w:after="80" w:before="0"/>
              <w:jc w:val="center"/>
            </w:pPr>
            <w:r>
              <w:rPr>
                <w:rFonts w:ascii="Calibri" w:cs="Calibri" w:eastAsia="Calibri" w:hAnsi="Calibri"/>
                <w:b w:val="false"/>
                <w:bCs w:val="false"/>
                <w:i/>
                <w:iCs/>
                <w:color w:val="D0E4FF"/>
                <w:sz w:val="18"/>
                <w:szCs w:val="18"/>
              </w:rPr>
              <w:t xml:space="preserve">Onboarding</w:t>
            </w:r>
          </w:p>
        </w:tc>
        <w:tc>
          <w:tcPr>
            <w:tcW w:type="dxa" w:w="1300"/>
            <w:tcBorders>
              <w:top w:val="single" w:color="1A6B7A" w:sz="4"/>
              <w:left w:val="single" w:color="1A6B7A" w:sz="4"/>
              <w:bottom w:val="single" w:color="1A6B7A" w:sz="4"/>
              <w:right w:val="single" w:color="1A6B7A" w:sz="4"/>
            </w:tcBorders>
            <w:shd w:fill="1A6B7A"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4</w:t>
            </w:r>
          </w:p>
          <w:p>
            <w:pPr>
              <w:spacing w:after="80" w:before="0"/>
              <w:jc w:val="center"/>
            </w:pPr>
            <w:r>
              <w:rPr>
                <w:rFonts w:ascii="Calibri" w:cs="Calibri" w:eastAsia="Calibri" w:hAnsi="Calibri"/>
                <w:b w:val="false"/>
                <w:bCs w:val="false"/>
                <w:i/>
                <w:iCs/>
                <w:color w:val="D0E4FF"/>
                <w:sz w:val="18"/>
                <w:szCs w:val="18"/>
              </w:rPr>
              <w:t xml:space="preserve">Usage quotidien</w:t>
            </w:r>
          </w:p>
        </w:tc>
        <w:tc>
          <w:tcPr>
            <w:tcW w:type="dxa" w:w="1300"/>
            <w:tcBorders>
              <w:top w:val="single" w:color="1A6B7A" w:sz="4"/>
              <w:left w:val="single" w:color="1A6B7A" w:sz="4"/>
              <w:bottom w:val="single" w:color="1A6B7A" w:sz="4"/>
              <w:right w:val="single" w:color="1A6B7A" w:sz="4"/>
            </w:tcBorders>
            <w:shd w:fill="1A6B7A"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5</w:t>
            </w:r>
          </w:p>
          <w:p>
            <w:pPr>
              <w:spacing w:after="80" w:before="0"/>
              <w:jc w:val="center"/>
            </w:pPr>
            <w:r>
              <w:rPr>
                <w:rFonts w:ascii="Calibri" w:cs="Calibri" w:eastAsia="Calibri" w:hAnsi="Calibri"/>
                <w:b w:val="false"/>
                <w:bCs w:val="false"/>
                <w:i/>
                <w:iCs/>
                <w:color w:val="D0E4FF"/>
                <w:sz w:val="18"/>
                <w:szCs w:val="18"/>
              </w:rPr>
              <w:t xml:space="preserve">Perturbation</w:t>
            </w:r>
          </w:p>
        </w:tc>
        <w:tc>
          <w:tcPr>
            <w:tcW w:type="dxa" w:w="1300"/>
            <w:tcBorders>
              <w:top w:val="single" w:color="1A6B7A" w:sz="4"/>
              <w:left w:val="single" w:color="1A6B7A" w:sz="4"/>
              <w:bottom w:val="single" w:color="1A6B7A" w:sz="4"/>
              <w:right w:val="single" w:color="1A6B7A" w:sz="4"/>
            </w:tcBorders>
            <w:shd w:fill="1A6B7A"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6</w:t>
            </w:r>
          </w:p>
          <w:p>
            <w:pPr>
              <w:spacing w:after="80" w:before="0"/>
              <w:jc w:val="center"/>
            </w:pPr>
            <w:r>
              <w:rPr>
                <w:rFonts w:ascii="Calibri" w:cs="Calibri" w:eastAsia="Calibri" w:hAnsi="Calibri"/>
                <w:b w:val="false"/>
                <w:bCs w:val="false"/>
                <w:i/>
                <w:iCs/>
                <w:color w:val="D0E4FF"/>
                <w:sz w:val="18"/>
                <w:szCs w:val="18"/>
              </w:rPr>
              <w:t xml:space="preserve">Fidelisation</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ACTIONS</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Lit un article sur Cafe Pedagogique. Voit EduTutor dans une newsletter edtech.</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Demande une demonstration a son DSI. Teste l'endpoint sur un cours de Communication.</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Cree un compte staff. Charge un document Word. Configure les parametres de sa classe.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Genere ses quiz hebdomadaires en 4 min. Suit les scores moyens depuis le tableau de bord.</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Perturbation J1 : elle exige des questions differenciees par niveau eleve.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Renouvelle pour ses 2 classes. Devient referente numerique aupres de 4 collegues.</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POINTS DE CONTACT</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Newsletter pedagogique, Twitter/X edtech, collegues enseignants</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Demonstration en ligne, documentation Swagger /api/docs/, DSI</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Onboarding staff, upload Word/PDF, parametres classe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Tableau de bord admin, export Word, back-office configuration LLM</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Support email, reunion pedagogique, note de decision (ADR)</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Rapport mensuel, page de partage direction, renouvellement contrat</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RESSENTI</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Curieuse mais a court de temps : le ROI doit etre immediat</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Impressionnee par la rapidite de generation, mais encore prudente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Rassouree par la simplicite, zero configuration requise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Conquise : gagne plus d'une heure par semaine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Frustree par le manque de flexibilite pedagogique (niveaux)</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Fiere d'etre referente numerique dans son etablissement</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POINTS DE FRICTION</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Pas le temps de tester sans garantie de retour sur investissement rapide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Reseau lycee lent : la demonstration doit fonctionner sans telechargement lourd</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Allergique a toute installation technique ou ligne de commande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Craint une panne en cours devant 28 adolescents (critere eliminatoire)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Besoin de differentiation : quiz de niveau A / B / C par eleve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Besoin d'un rapport clair a presenter a la direction</w:t>
            </w:r>
          </w:p>
        </w:tc>
      </w:tr>
      <w:tr>
        <w:tc>
          <w:tcPr>
            <w:tcW w:type="dxa" w:w="1560"/>
            <w:tcBorders>
              <w:top w:val="single" w:color="1A6B7A" w:sz="4"/>
              <w:left w:val="single" w:color="1A6B7A" w:sz="4"/>
              <w:bottom w:val="single" w:color="1A6B7A" w:sz="4"/>
              <w:right w:val="single" w:color="1A6B7A" w:sz="4"/>
            </w:tcBorders>
            <w:shd w:fill="1A6B7A"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FFFFFF"/>
                <w:sz w:val="18"/>
                <w:szCs w:val="18"/>
              </w:rPr>
              <w:t xml:space="preserve">OPPORTUNITES PRODUIT</w:t>
            </w:r>
          </w:p>
        </w:tc>
        <w:tc>
          <w:tcPr>
            <w:tcW w:type="dxa" w:w="1300"/>
            <w:tcBorders>
              <w:top w:val="single" w:color="1A6B7A" w:sz="4"/>
              <w:left w:val="single" w:color="1A6B7A" w:sz="4"/>
              <w:bottom w:val="single" w:color="1A6B7A" w:sz="4"/>
              <w:right w:val="single" w:color="1A6B7A" w:sz="4"/>
            </w:tcBorders>
            <w:shd w:fill="E5F4F6"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Cas d'usage chiffre « 90 min reduites a 4 min » en page d'accueil.</w:t>
            </w:r>
          </w:p>
        </w:tc>
        <w:tc>
          <w:tcPr>
            <w:tcW w:type="dxa" w:w="1300"/>
            <w:tcBorders>
              <w:top w:val="single" w:color="1A6B7A" w:sz="4"/>
              <w:left w:val="single" w:color="1A6B7A" w:sz="4"/>
              <w:bottom w:val="single" w:color="1A6B7A" w:sz="4"/>
              <w:right w:val="single" w:color="1A6B7A" w:sz="4"/>
            </w:tcBorders>
            <w:shd w:fill="E5F4F6"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Demo precharge avec un cours BTS Communication (sans import).</w:t>
            </w:r>
          </w:p>
        </w:tc>
        <w:tc>
          <w:tcPr>
            <w:tcW w:type="dxa" w:w="1300"/>
            <w:tcBorders>
              <w:top w:val="single" w:color="1A6B7A" w:sz="4"/>
              <w:left w:val="single" w:color="1A6B7A" w:sz="4"/>
              <w:bottom w:val="single" w:color="1A6B7A" w:sz="4"/>
              <w:right w:val="single" w:color="1A6B7A" w:sz="4"/>
            </w:tcBorders>
            <w:shd w:fill="E5F4F6"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Onboarding guide en 3 etapes maximum, zero configuration.</w:t>
            </w:r>
          </w:p>
        </w:tc>
        <w:tc>
          <w:tcPr>
            <w:tcW w:type="dxa" w:w="1300"/>
            <w:tcBorders>
              <w:top w:val="single" w:color="1A6B7A" w:sz="4"/>
              <w:left w:val="single" w:color="1A6B7A" w:sz="4"/>
              <w:bottom w:val="single" w:color="1A6B7A" w:sz="4"/>
              <w:right w:val="single" w:color="1A6B7A" w:sz="4"/>
            </w:tcBorders>
            <w:shd w:fill="E5F4F6"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Mode presentiel : affichage projetable + mode sans message d'erreur visible.</w:t>
            </w:r>
          </w:p>
        </w:tc>
        <w:tc>
          <w:tcPr>
            <w:tcW w:type="dxa" w:w="1300"/>
            <w:tcBorders>
              <w:top w:val="single" w:color="1A6B7A" w:sz="4"/>
              <w:left w:val="single" w:color="1A6B7A" w:sz="4"/>
              <w:bottom w:val="single" w:color="1A6B7A" w:sz="4"/>
              <w:right w:val="single" w:color="1A6B7A" w:sz="4"/>
            </w:tcBorders>
            <w:shd w:fill="E5F4F6"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Niveaux de difficulte configurables (MVP 2) + ADR LLM documentee.</w:t>
            </w:r>
          </w:p>
        </w:tc>
        <w:tc>
          <w:tcPr>
            <w:tcW w:type="dxa" w:w="1300"/>
            <w:tcBorders>
              <w:top w:val="single" w:color="1A6B7A" w:sz="4"/>
              <w:left w:val="single" w:color="1A6B7A" w:sz="4"/>
              <w:bottom w:val="single" w:color="1A6B7A" w:sz="4"/>
              <w:right w:val="single" w:color="1A6B7A" w:sz="4"/>
            </w:tcBorders>
            <w:shd w:fill="E5F4F6"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Rapport PDF mensuel exportable. Page de partage pour la direction.</w:t>
            </w:r>
          </w:p>
        </w:tc>
      </w:tr>
    </w:tbl>
    <w:p>
      <w:pPr>
        <w:spacing w:after="60" w:before="0"/>
      </w:pPr>
      <w:r>
        <w:rPr>
          <w:rFonts w:ascii="Calibri" w:cs="Calibri" w:eastAsia="Calibri" w:hAnsi="Calibri"/>
          <w:b w:val="false"/>
          <w:bCs w:val="false"/>
          <w:i w:val="false"/>
          <w:iCs w:val="false"/>
          <w:color w:val="1A1A1A"/>
          <w:sz w:val="20"/>
          <w:szCs w:val="20"/>
        </w:rPr>
        <w:t xml:space="preserve"/>
      </w:r>
    </w:p>
    <w:p>
      <w:r>
        <w:br w:type="page"/>
      </w:r>
    </w:p>
    <w:p>
      <w:pPr>
        <w:spacing w:after="60" w:before="0"/>
        <w:jc w:val="left"/>
      </w:pPr>
      <w:r>
        <w:rPr>
          <w:rFonts w:ascii="Calibri" w:cs="Calibri" w:eastAsia="Calibri" w:hAnsi="Calibri"/>
          <w:b/>
          <w:bCs/>
          <w:i w:val="false"/>
          <w:iCs w:val="false"/>
          <w:color w:val="B45309"/>
          <w:sz w:val="32"/>
          <w:szCs w:val="32"/>
        </w:rPr>
        <w:t xml:space="preserve">5.  Journey Map — M. David Chen (Persona Tertiaire — Acheteur)</w:t>
      </w:r>
    </w:p>
    <w:p>
      <w:pPr>
        <w:spacing w:after="160" w:before="0"/>
        <w:jc w:val="left"/>
      </w:pPr>
      <w:r>
        <w:rPr>
          <w:rFonts w:ascii="Calibri" w:cs="Calibri" w:eastAsia="Calibri" w:hAnsi="Calibri"/>
          <w:b w:val="false"/>
          <w:bCs w:val="false"/>
          <w:i/>
          <w:iCs/>
          <w:color w:val="6B7280"/>
          <w:sz w:val="21"/>
          <w:szCs w:val="21"/>
        </w:rPr>
        <w:t xml:space="preserve">Directeur des etudes  |  Acheteur institutionnel  |  Cycle de decision 6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
            </w:r>
          </w:p>
        </w:tc>
        <w:tc>
          <w:tcPr>
            <w:tcW w:type="dxa" w:w="1300"/>
            <w:tcBorders>
              <w:top w:val="single" w:color="B45309" w:sz="4"/>
              <w:left w:val="single" w:color="B45309" w:sz="4"/>
              <w:bottom w:val="single" w:color="B45309" w:sz="4"/>
              <w:right w:val="single" w:color="B45309" w:sz="4"/>
            </w:tcBorders>
            <w:shd w:fill="B45309"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1</w:t>
            </w:r>
          </w:p>
          <w:p>
            <w:pPr>
              <w:spacing w:after="80" w:before="0"/>
              <w:jc w:val="center"/>
            </w:pPr>
            <w:r>
              <w:rPr>
                <w:rFonts w:ascii="Calibri" w:cs="Calibri" w:eastAsia="Calibri" w:hAnsi="Calibri"/>
                <w:b w:val="false"/>
                <w:bCs w:val="false"/>
                <w:i/>
                <w:iCs/>
                <w:color w:val="D0E4FF"/>
                <w:sz w:val="18"/>
                <w:szCs w:val="18"/>
              </w:rPr>
              <w:t xml:space="preserve">Decouverte</w:t>
            </w:r>
          </w:p>
        </w:tc>
        <w:tc>
          <w:tcPr>
            <w:tcW w:type="dxa" w:w="1300"/>
            <w:tcBorders>
              <w:top w:val="single" w:color="B45309" w:sz="4"/>
              <w:left w:val="single" w:color="B45309" w:sz="4"/>
              <w:bottom w:val="single" w:color="B45309" w:sz="4"/>
              <w:right w:val="single" w:color="B45309" w:sz="4"/>
            </w:tcBorders>
            <w:shd w:fill="B45309"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2</w:t>
            </w:r>
          </w:p>
          <w:p>
            <w:pPr>
              <w:spacing w:after="80" w:before="0"/>
              <w:jc w:val="center"/>
            </w:pPr>
            <w:r>
              <w:rPr>
                <w:rFonts w:ascii="Calibri" w:cs="Calibri" w:eastAsia="Calibri" w:hAnsi="Calibri"/>
                <w:b w:val="false"/>
                <w:bCs w:val="false"/>
                <w:i/>
                <w:iCs/>
                <w:color w:val="D0E4FF"/>
                <w:sz w:val="18"/>
                <w:szCs w:val="18"/>
              </w:rPr>
              <w:t xml:space="preserve">Evaluation</w:t>
            </w:r>
          </w:p>
        </w:tc>
        <w:tc>
          <w:tcPr>
            <w:tcW w:type="dxa" w:w="1300"/>
            <w:tcBorders>
              <w:top w:val="single" w:color="B45309" w:sz="4"/>
              <w:left w:val="single" w:color="B45309" w:sz="4"/>
              <w:bottom w:val="single" w:color="B45309" w:sz="4"/>
              <w:right w:val="single" w:color="B45309" w:sz="4"/>
            </w:tcBorders>
            <w:shd w:fill="B45309"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3</w:t>
            </w:r>
          </w:p>
          <w:p>
            <w:pPr>
              <w:spacing w:after="80" w:before="0"/>
              <w:jc w:val="center"/>
            </w:pPr>
            <w:r>
              <w:rPr>
                <w:rFonts w:ascii="Calibri" w:cs="Calibri" w:eastAsia="Calibri" w:hAnsi="Calibri"/>
                <w:b w:val="false"/>
                <w:bCs w:val="false"/>
                <w:i/>
                <w:iCs/>
                <w:color w:val="D0E4FF"/>
                <w:sz w:val="18"/>
                <w:szCs w:val="18"/>
              </w:rPr>
              <w:t xml:space="preserve">Onboarding</w:t>
            </w:r>
          </w:p>
        </w:tc>
        <w:tc>
          <w:tcPr>
            <w:tcW w:type="dxa" w:w="1300"/>
            <w:tcBorders>
              <w:top w:val="single" w:color="B45309" w:sz="4"/>
              <w:left w:val="single" w:color="B45309" w:sz="4"/>
              <w:bottom w:val="single" w:color="B45309" w:sz="4"/>
              <w:right w:val="single" w:color="B45309" w:sz="4"/>
            </w:tcBorders>
            <w:shd w:fill="B45309"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4</w:t>
            </w:r>
          </w:p>
          <w:p>
            <w:pPr>
              <w:spacing w:after="80" w:before="0"/>
              <w:jc w:val="center"/>
            </w:pPr>
            <w:r>
              <w:rPr>
                <w:rFonts w:ascii="Calibri" w:cs="Calibri" w:eastAsia="Calibri" w:hAnsi="Calibri"/>
                <w:b w:val="false"/>
                <w:bCs w:val="false"/>
                <w:i/>
                <w:iCs/>
                <w:color w:val="D0E4FF"/>
                <w:sz w:val="18"/>
                <w:szCs w:val="18"/>
              </w:rPr>
              <w:t xml:space="preserve">Usage quotidien</w:t>
            </w:r>
          </w:p>
        </w:tc>
        <w:tc>
          <w:tcPr>
            <w:tcW w:type="dxa" w:w="1300"/>
            <w:tcBorders>
              <w:top w:val="single" w:color="B45309" w:sz="4"/>
              <w:left w:val="single" w:color="B45309" w:sz="4"/>
              <w:bottom w:val="single" w:color="B45309" w:sz="4"/>
              <w:right w:val="single" w:color="B45309" w:sz="4"/>
            </w:tcBorders>
            <w:shd w:fill="B45309"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5</w:t>
            </w:r>
          </w:p>
          <w:p>
            <w:pPr>
              <w:spacing w:after="80" w:before="0"/>
              <w:jc w:val="center"/>
            </w:pPr>
            <w:r>
              <w:rPr>
                <w:rFonts w:ascii="Calibri" w:cs="Calibri" w:eastAsia="Calibri" w:hAnsi="Calibri"/>
                <w:b w:val="false"/>
                <w:bCs w:val="false"/>
                <w:i/>
                <w:iCs/>
                <w:color w:val="D0E4FF"/>
                <w:sz w:val="18"/>
                <w:szCs w:val="18"/>
              </w:rPr>
              <w:t xml:space="preserve">Perturbation</w:t>
            </w:r>
          </w:p>
        </w:tc>
        <w:tc>
          <w:tcPr>
            <w:tcW w:type="dxa" w:w="1300"/>
            <w:tcBorders>
              <w:top w:val="single" w:color="B45309" w:sz="4"/>
              <w:left w:val="single" w:color="B45309" w:sz="4"/>
              <w:bottom w:val="single" w:color="B45309" w:sz="4"/>
              <w:right w:val="single" w:color="B45309" w:sz="4"/>
            </w:tcBorders>
            <w:shd w:fill="B45309" w:val="clear"/>
            <w:tcMar>
              <w:top w:type="dxa" w:w="100"/>
              <w:left w:type="dxa" w:w="140"/>
              <w:bottom w:type="dxa" w:w="100"/>
              <w:right w:type="dxa" w:w="140"/>
            </w:tcMar>
            <w:vAlign w:val="top"/>
          </w:tcPr>
          <w:p>
            <w:pPr>
              <w:spacing w:after="20" w:before="0"/>
              <w:jc w:val="center"/>
            </w:pPr>
            <w:r>
              <w:rPr>
                <w:rFonts w:ascii="Calibri" w:cs="Calibri" w:eastAsia="Calibri" w:hAnsi="Calibri"/>
                <w:b/>
                <w:bCs/>
                <w:i w:val="false"/>
                <w:iCs w:val="false"/>
                <w:color w:val="FFFFFF"/>
                <w:sz w:val="19"/>
                <w:szCs w:val="19"/>
              </w:rPr>
              <w:t xml:space="preserve">Phase 6</w:t>
            </w:r>
          </w:p>
          <w:p>
            <w:pPr>
              <w:spacing w:after="80" w:before="0"/>
              <w:jc w:val="center"/>
            </w:pPr>
            <w:r>
              <w:rPr>
                <w:rFonts w:ascii="Calibri" w:cs="Calibri" w:eastAsia="Calibri" w:hAnsi="Calibri"/>
                <w:b w:val="false"/>
                <w:bCs w:val="false"/>
                <w:i/>
                <w:iCs/>
                <w:color w:val="D0E4FF"/>
                <w:sz w:val="18"/>
                <w:szCs w:val="18"/>
              </w:rPr>
              <w:t xml:space="preserve">Fidelisation</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ACTIONS</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Reçoit une pression du CA sur la strategie IA. Mandate 3 enseignants pour evaluer des outils.</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Commande une analyse au DSI. Lit les CGU/CGV pendant 45 min. Consulte le DPO.</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Signe le bon de commande. Coordonne l'integration informatique avec le DSI.</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Suit les metriques d'adoption (pourcentage de profs actifs). Presente les resultats au CA.</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Perturbation J3-bis RGPD : un parent signale un incident de donnees.</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30 % d'adoption atteints. Renouvelle le contrat. Demande un tableau de bord DPO dedie.</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POINTS DE CONTACT</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Rapport du CA, conference edtech, recommandations de collegues directeurs</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Documentation RGPD, CGU/CGV, DPO, DSI, fiche technique produit</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Contrat commercial, email de confirmation, acces administrateur global</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Tableau de bord etablissement, rapport mensuel, back-office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Support RGPD dedie, registre des traitements, contact DPO EduTutor</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Rapport annuel d'impact, presentation CA, renouvellement de licence</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RESSENTI</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Sous pression et mefiant : deja deçu par des outils qui ont ferme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Tres vigilant et exigeant sur la conformite et la perennite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Soulage mais encore prudent : attend les premiers chiffres d'usage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Confiant une fois les donnees d'adoption validees</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Tres stresse : risque juridique et reputationnel immediat</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Fier d'avoir realise un investissement justifiable et mesurable</w:t>
            </w:r>
          </w:p>
        </w:tc>
      </w:tr>
      <w:tr>
        <w:tc>
          <w:tcPr>
            <w:tcW w:type="dxa" w:w="1560"/>
            <w:tcBorders>
              <w:top w:val="single" w:color="B0BEC5" w:sz="4"/>
              <w:left w:val="single" w:color="B0BEC5" w:sz="4"/>
              <w:bottom w:val="single" w:color="B0BEC5" w:sz="4"/>
              <w:right w:val="single" w:color="B0BEC5" w:sz="4"/>
            </w:tcBorders>
            <w:shd w:fill="E2E8F0"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1B2A4A"/>
                <w:sz w:val="18"/>
                <w:szCs w:val="18"/>
              </w:rPr>
              <w:t xml:space="preserve">POINTS DE FRICTION</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Peur d'investir dans un outil qui disparaitra (2 mauvaises experiences)</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Le DPO bloque tout LLM americain : OpenAI/Anthropic exclus par defaut</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Cycle de decision long (6 mois minimum) avec plusieurs niveaux de validation</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Budget impraticable si tarification a la consommation de jetons API</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Un incident RGPD peut entrainer une suspension immediate du service</w:t>
            </w:r>
          </w:p>
        </w:tc>
        <w:tc>
          <w:tcPr>
            <w:tcW w:type="dxa" w:w="13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Le CA exige des preuves chiffrees du retour sur investissement pedagogique</w:t>
            </w:r>
          </w:p>
        </w:tc>
      </w:tr>
      <w:tr>
        <w:tc>
          <w:tcPr>
            <w:tcW w:type="dxa" w:w="1560"/>
            <w:tcBorders>
              <w:top w:val="single" w:color="B45309" w:sz="4"/>
              <w:left w:val="single" w:color="B45309" w:sz="4"/>
              <w:bottom w:val="single" w:color="B45309" w:sz="4"/>
              <w:right w:val="single" w:color="B45309" w:sz="4"/>
            </w:tcBorders>
            <w:shd w:fill="B45309" w:val="clear"/>
            <w:tcMar>
              <w:top w:type="dxa" w:w="100"/>
              <w:left w:type="dxa" w:w="140"/>
              <w:bottom w:type="dxa" w:w="100"/>
              <w:right w:type="dxa" w:w="140"/>
            </w:tcMar>
            <w:vAlign w:val="center"/>
          </w:tcPr>
          <w:p>
            <w:pPr>
              <w:spacing w:after="80" w:before="0"/>
              <w:jc w:val="center"/>
            </w:pPr>
            <w:r>
              <w:rPr>
                <w:rFonts w:ascii="Calibri" w:cs="Calibri" w:eastAsia="Calibri" w:hAnsi="Calibri"/>
                <w:b/>
                <w:bCs/>
                <w:i w:val="false"/>
                <w:iCs w:val="false"/>
                <w:color w:val="FFFFFF"/>
                <w:sz w:val="18"/>
                <w:szCs w:val="18"/>
              </w:rPr>
              <w:t xml:space="preserve">OPPORTUNITES PRODUIT</w:t>
            </w:r>
          </w:p>
        </w:tc>
        <w:tc>
          <w:tcPr>
            <w:tcW w:type="dxa" w:w="1300"/>
            <w:tcBorders>
              <w:top w:val="single" w:color="B45309" w:sz="4"/>
              <w:left w:val="single" w:color="B45309" w:sz="4"/>
              <w:bottom w:val="single" w:color="B45309" w:sz="4"/>
              <w:right w:val="single" w:color="B45309" w:sz="4"/>
            </w:tcBorders>
            <w:shd w:fill="FEF3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Page de perennite : equipe, statut juridique, historique, feuille de route publique.</w:t>
            </w:r>
          </w:p>
        </w:tc>
        <w:tc>
          <w:tcPr>
            <w:tcW w:type="dxa" w:w="1300"/>
            <w:tcBorders>
              <w:top w:val="single" w:color="B45309" w:sz="4"/>
              <w:left w:val="single" w:color="B45309" w:sz="4"/>
              <w:bottom w:val="single" w:color="B45309" w:sz="4"/>
              <w:right w:val="single" w:color="B45309" w:sz="4"/>
            </w:tcBorders>
            <w:shd w:fill="FEF3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Pack DPO cle en main : CGU pre-redigees, registre des traitements, hebergement UE.</w:t>
            </w:r>
          </w:p>
        </w:tc>
        <w:tc>
          <w:tcPr>
            <w:tcW w:type="dxa" w:w="1300"/>
            <w:tcBorders>
              <w:top w:val="single" w:color="B45309" w:sz="4"/>
              <w:left w:val="single" w:color="B45309" w:sz="4"/>
              <w:bottom w:val="single" w:color="B45309" w:sz="4"/>
              <w:right w:val="single" w:color="B45309" w:sz="4"/>
            </w:tcBorders>
            <w:shd w:fill="FEF3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Pilote 3 mois gratuit (5 enseignants) avant tout engagement annuel.</w:t>
            </w:r>
          </w:p>
        </w:tc>
        <w:tc>
          <w:tcPr>
            <w:tcW w:type="dxa" w:w="1300"/>
            <w:tcBorders>
              <w:top w:val="single" w:color="B45309" w:sz="4"/>
              <w:left w:val="single" w:color="B45309" w:sz="4"/>
              <w:bottom w:val="single" w:color="B45309" w:sz="4"/>
              <w:right w:val="single" w:color="B45309" w:sz="4"/>
            </w:tcBorders>
            <w:shd w:fill="FEF3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Tableau de bord KPI etablissement : taux d'adoption, score moyen, progression.</w:t>
            </w:r>
          </w:p>
        </w:tc>
        <w:tc>
          <w:tcPr>
            <w:tcW w:type="dxa" w:w="1300"/>
            <w:tcBorders>
              <w:top w:val="single" w:color="B45309" w:sz="4"/>
              <w:left w:val="single" w:color="B45309" w:sz="4"/>
              <w:bottom w:val="single" w:color="B45309" w:sz="4"/>
              <w:right w:val="single" w:color="B45309" w:sz="4"/>
            </w:tcBorders>
            <w:shd w:fill="FEF3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SLA RGPD contractuel + support DPO dedie en moins de 4 h ouvrables.</w:t>
            </w:r>
          </w:p>
        </w:tc>
        <w:tc>
          <w:tcPr>
            <w:tcW w:type="dxa" w:w="1300"/>
            <w:tcBorders>
              <w:top w:val="single" w:color="B45309" w:sz="4"/>
              <w:left w:val="single" w:color="B45309" w:sz="4"/>
              <w:bottom w:val="single" w:color="B45309" w:sz="4"/>
              <w:right w:val="single" w:color="B45309" w:sz="4"/>
            </w:tcBorders>
            <w:shd w:fill="FEF3E2"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8"/>
                <w:szCs w:val="18"/>
              </w:rPr>
              <w:t xml:space="preserve">Rapport CA annuel auto-genere en PDF avec logo de l'etablissement.</w:t>
            </w:r>
          </w:p>
        </w:tc>
      </w:tr>
    </w:tbl>
    <w:p>
      <w:pPr>
        <w:spacing w:after="60" w:before="0"/>
      </w:pPr>
      <w:r>
        <w:rPr>
          <w:rFonts w:ascii="Calibri" w:cs="Calibri" w:eastAsia="Calibri" w:hAnsi="Calibri"/>
          <w:b w:val="false"/>
          <w:bCs w:val="false"/>
          <w:i w:val="false"/>
          <w:iCs w:val="false"/>
          <w:color w:val="1A1A1A"/>
          <w:sz w:val="20"/>
          <w:szCs w:val="20"/>
        </w:rPr>
        <w:t xml:space="preserve"/>
      </w:r>
    </w:p>
    <w:p>
      <w:r>
        <w:br w:type="page"/>
      </w:r>
    </w:p>
    <w:p>
      <w:pPr>
        <w:spacing w:after="60" w:before="0"/>
        <w:jc w:val="left"/>
      </w:pPr>
      <w:r>
        <w:rPr>
          <w:rFonts w:ascii="Calibri" w:cs="Calibri" w:eastAsia="Calibri" w:hAnsi="Calibri"/>
          <w:b/>
          <w:bCs/>
          <w:i w:val="false"/>
          <w:iCs w:val="false"/>
          <w:color w:val="1B2A4A"/>
          <w:sz w:val="32"/>
          <w:szCs w:val="32"/>
        </w:rPr>
        <w:t xml:space="preserve">6.  Matrice de priorisation des opportunites</w:t>
      </w:r>
    </w:p>
    <w:p>
      <w:pPr>
        <w:spacing w:after="160" w:before="0"/>
        <w:jc w:val="left"/>
      </w:pPr>
      <w:r>
        <w:rPr>
          <w:rFonts w:ascii="Calibri" w:cs="Calibri" w:eastAsia="Calibri" w:hAnsi="Calibri"/>
          <w:b w:val="false"/>
          <w:bCs w:val="false"/>
          <w:i/>
          <w:iCs/>
          <w:color w:val="6B7280"/>
          <w:sz w:val="21"/>
          <w:szCs w:val="21"/>
        </w:rPr>
        <w:t xml:space="preserve">Les opportunites identifiees dans les Journey Maps sont croisees avec l'impact par persona et la priorite de livraison.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400"/>
        <w:gridCol w:w="1400"/>
      </w:tblGrid>
      <w:tr>
        <w:tc>
          <w:tcPr>
            <w:tcW w:type="dxa" w:w="37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FFFFFF"/>
                <w:sz w:val="19"/>
                <w:szCs w:val="19"/>
              </w:rPr>
              <w:t xml:space="preserve">Opportunite produit</w:t>
            </w:r>
          </w:p>
        </w:tc>
        <w:tc>
          <w:tcPr>
            <w:tcW w:type="dxa" w:w="140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9"/>
                <w:szCs w:val="19"/>
              </w:rPr>
              <w:t xml:space="preserve">Lea Martin</w:t>
            </w:r>
          </w:p>
        </w:tc>
        <w:tc>
          <w:tcPr>
            <w:tcW w:type="dxa" w:w="1400"/>
            <w:tcBorders>
              <w:top w:val="single" w:color="1A6B7A" w:sz="4"/>
              <w:left w:val="single" w:color="1A6B7A" w:sz="4"/>
              <w:bottom w:val="single" w:color="1A6B7A" w:sz="4"/>
              <w:right w:val="single" w:color="1A6B7A" w:sz="4"/>
            </w:tcBorders>
            <w:shd w:fill="1A6B7A"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9"/>
                <w:szCs w:val="19"/>
              </w:rPr>
              <w:t xml:space="preserve">Mme Lefevre</w:t>
            </w:r>
          </w:p>
        </w:tc>
        <w:tc>
          <w:tcPr>
            <w:tcW w:type="dxa" w:w="1400"/>
            <w:tcBorders>
              <w:top w:val="single" w:color="B45309" w:sz="4"/>
              <w:left w:val="single" w:color="B45309" w:sz="4"/>
              <w:bottom w:val="single" w:color="B45309" w:sz="4"/>
              <w:right w:val="single" w:color="B45309" w:sz="4"/>
            </w:tcBorders>
            <w:shd w:fill="B4530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9"/>
                <w:szCs w:val="19"/>
              </w:rPr>
              <w:t xml:space="preserve">M. Chen</w:t>
            </w:r>
          </w:p>
        </w:tc>
        <w:tc>
          <w:tcPr>
            <w:tcW w:type="dxa" w:w="1400"/>
            <w:tcBorders>
              <w:top w:val="single" w:color="243554" w:sz="4"/>
              <w:left w:val="single" w:color="243554" w:sz="4"/>
              <w:bottom w:val="single" w:color="243554" w:sz="4"/>
              <w:right w:val="single" w:color="243554" w:sz="4"/>
            </w:tcBorders>
            <w:shd w:fill="243554"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FFFFFF"/>
                <w:sz w:val="19"/>
                <w:szCs w:val="19"/>
              </w:rPr>
              <w:t xml:space="preserve">Priorite</w:t>
            </w:r>
          </w:p>
        </w:tc>
      </w:tr>
      <w:tr>
        <w:tc>
          <w:tcPr>
            <w:tcW w:type="dxa" w:w="3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Generation de quiz en moins de 5 min (PDF ou texte libre)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065F46"/>
                <w:sz w:val="19"/>
                <w:szCs w:val="19"/>
              </w:rPr>
              <w:t xml:space="preserve">MVP — P1</w:t>
            </w:r>
          </w:p>
        </w:tc>
      </w:tr>
      <w:tr>
        <w:tc>
          <w:tcPr>
            <w:tcW w:type="dxa" w:w="376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Experience mobile sans friction (UX 100 % telephone)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Modere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065F46"/>
                <w:sz w:val="19"/>
                <w:szCs w:val="19"/>
              </w:rPr>
              <w:t xml:space="preserve">MVP — P1</w:t>
            </w:r>
          </w:p>
        </w:tc>
      </w:tr>
      <w:tr>
        <w:tc>
          <w:tcPr>
            <w:tcW w:type="dxa" w:w="3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Tableau de bord de progression par chapitre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065F46"/>
                <w:sz w:val="19"/>
                <w:szCs w:val="19"/>
              </w:rPr>
              <w:t xml:space="preserve">MVP — P1</w:t>
            </w:r>
          </w:p>
        </w:tc>
      </w:tr>
      <w:tr>
        <w:tc>
          <w:tcPr>
            <w:tcW w:type="dxa" w:w="376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Export Word / PDF du quiz genere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Modere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065F46"/>
                <w:sz w:val="19"/>
                <w:szCs w:val="19"/>
              </w:rPr>
              <w:t xml:space="preserve">MVP — P1</w:t>
            </w:r>
          </w:p>
        </w:tc>
      </w:tr>
      <w:tr>
        <w:tc>
          <w:tcPr>
            <w:tcW w:type="dxa" w:w="3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Pack DPO cle en main (CGU RGPD + registre des traitements)</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065F46"/>
                <w:sz w:val="19"/>
                <w:szCs w:val="19"/>
              </w:rPr>
              <w:t xml:space="preserve">MVP — P1</w:t>
            </w:r>
          </w:p>
        </w:tc>
      </w:tr>
      <w:tr>
        <w:tc>
          <w:tcPr>
            <w:tcW w:type="dxa" w:w="376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Mode demonstration sans inscription requise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2E5FA3"/>
                <w:sz w:val="19"/>
                <w:szCs w:val="19"/>
              </w:rPr>
              <w:t xml:space="preserve">Release 2</w:t>
            </w:r>
          </w:p>
        </w:tc>
      </w:tr>
      <w:tr>
        <w:tc>
          <w:tcPr>
            <w:tcW w:type="dxa" w:w="3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Niveaux de difficulte configurables par quiz</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2E5FA3"/>
                <w:sz w:val="19"/>
                <w:szCs w:val="19"/>
              </w:rPr>
              <w:t xml:space="preserve">Release 2</w:t>
            </w:r>
          </w:p>
        </w:tc>
      </w:tr>
      <w:tr>
        <w:tc>
          <w:tcPr>
            <w:tcW w:type="dxa" w:w="376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Tableau de bord KPI etablissement (taux d'adoption)</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2E5FA3"/>
                <w:sz w:val="19"/>
                <w:szCs w:val="19"/>
              </w:rPr>
              <w:t xml:space="preserve">Release 2</w:t>
            </w:r>
          </w:p>
        </w:tc>
      </w:tr>
      <w:tr>
        <w:tc>
          <w:tcPr>
            <w:tcW w:type="dxa" w:w="3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Mode hors-ligne avec synchronisation automatique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Modere</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2E5FA3"/>
                <w:sz w:val="19"/>
                <w:szCs w:val="19"/>
              </w:rPr>
              <w:t xml:space="preserve">Release 2</w:t>
            </w:r>
          </w:p>
        </w:tc>
      </w:tr>
      <w:tr>
        <w:tc>
          <w:tcPr>
            <w:tcW w:type="dxa" w:w="376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Rapport CA annuel auto-genere en PDF</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B7280"/>
                <w:sz w:val="19"/>
                <w:szCs w:val="19"/>
              </w:rPr>
              <w:t xml:space="preserve">Release 3</w:t>
            </w:r>
          </w:p>
        </w:tc>
      </w:tr>
      <w:tr>
        <w:tc>
          <w:tcPr>
            <w:tcW w:type="dxa" w:w="3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Systeme de parrainage entre etudiants</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1E3A5F"/>
                <w:sz w:val="19"/>
                <w:szCs w:val="19"/>
              </w:rPr>
              <w:t xml:space="preserve">Important</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B7280"/>
                <w:sz w:val="19"/>
                <w:szCs w:val="19"/>
              </w:rPr>
              <w:t xml:space="preserve">Release 3</w:t>
            </w:r>
          </w:p>
        </w:tc>
      </w:tr>
      <w:tr>
        <w:tc>
          <w:tcPr>
            <w:tcW w:type="dxa" w:w="376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SLA RGPD contractuel + support DPO dedie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val="false"/>
                <w:bCs w:val="false"/>
                <w:i w:val="false"/>
                <w:iCs w:val="false"/>
                <w:color w:val="6B7280"/>
                <w:sz w:val="19"/>
                <w:szCs w:val="19"/>
              </w:rPr>
              <w:t xml:space="preserve">Mineur</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991B1B"/>
                <w:sz w:val="19"/>
                <w:szCs w:val="19"/>
              </w:rPr>
              <w:t xml:space="preserve">Critique</w:t>
            </w:r>
          </w:p>
        </w:tc>
        <w:tc>
          <w:tcPr>
            <w:tcW w:type="dxa" w:w="1400"/>
            <w:tcBorders>
              <w:top w:val="single" w:color="B0BEC5" w:sz="4"/>
              <w:left w:val="single" w:color="B0BEC5" w:sz="4"/>
              <w:bottom w:val="single" w:color="B0BEC5" w:sz="4"/>
              <w:right w:val="single" w:color="B0BEC5" w:sz="4"/>
            </w:tcBorders>
            <w:shd w:fill="F4F6F9" w:val="clear"/>
            <w:tcMar>
              <w:top w:type="dxa" w:w="100"/>
              <w:left w:type="dxa" w:w="140"/>
              <w:bottom w:type="dxa" w:w="100"/>
              <w:right w:type="dxa" w:w="140"/>
            </w:tcMar>
            <w:vAlign w:val="top"/>
          </w:tcPr>
          <w:p>
            <w:pPr>
              <w:spacing w:after="80" w:before="0"/>
              <w:jc w:val="center"/>
            </w:pPr>
            <w:r>
              <w:rPr>
                <w:rFonts w:ascii="Calibri" w:cs="Calibri" w:eastAsia="Calibri" w:hAnsi="Calibri"/>
                <w:b/>
                <w:bCs/>
                <w:i w:val="false"/>
                <w:iCs w:val="false"/>
                <w:color w:val="6B7280"/>
                <w:sz w:val="19"/>
                <w:szCs w:val="19"/>
              </w:rPr>
              <w:t xml:space="preserve">Release 3</w:t>
            </w:r>
          </w:p>
        </w:tc>
      </w:tr>
    </w:tbl>
    <w:p>
      <w:pPr>
        <w:spacing w:after="60" w:before="0"/>
      </w:pPr>
      <w:r>
        <w:rPr>
          <w:rFonts w:ascii="Calibri" w:cs="Calibri" w:eastAsia="Calibri" w:hAnsi="Calibri"/>
          <w:b w:val="false"/>
          <w:bCs w:val="false"/>
          <w:i w:val="false"/>
          <w:iCs w:val="false"/>
          <w:color w:val="1A1A1A"/>
          <w:sz w:val="20"/>
          <w:szCs w:val="20"/>
        </w:rPr>
        <w:t xml:space="preserve"/>
      </w:r>
    </w:p>
    <w:p>
      <w:r>
        <w:br w:type="page"/>
      </w:r>
    </w:p>
    <w:p>
      <w:pPr>
        <w:spacing w:after="60" w:before="0"/>
        <w:jc w:val="left"/>
      </w:pPr>
      <w:r>
        <w:rPr>
          <w:rFonts w:ascii="Calibri" w:cs="Calibri" w:eastAsia="Calibri" w:hAnsi="Calibri"/>
          <w:b/>
          <w:bCs/>
          <w:i w:val="false"/>
          <w:iCs w:val="false"/>
          <w:color w:val="1B2A4A"/>
          <w:sz w:val="32"/>
          <w:szCs w:val="32"/>
        </w:rPr>
        <w:t xml:space="preserve">7.  Recommandations et feuille de route</w:t>
      </w:r>
    </w:p>
    <w:p>
      <w:pPr>
        <w:spacing w:after="160" w:before="0"/>
        <w:jc w:val="left"/>
      </w:pPr>
      <w:r>
        <w:rPr>
          <w:rFonts w:ascii="Calibri" w:cs="Calibri" w:eastAsia="Calibri" w:hAnsi="Calibri"/>
          <w:b w:val="false"/>
          <w:bCs w:val="false"/>
          <w:i/>
          <w:iCs/>
          <w:color w:val="6B7280"/>
          <w:sz w:val="21"/>
          <w:szCs w:val="21"/>
        </w:rPr>
        <w:t xml:space="preserve">Actions concretes deduites des Journey Maps, priorisees selon l'impact utilisateur et les contraintes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1B2A4A" w:val="clear"/>
            <w:tcMar>
              <w:top w:type="dxa" w:w="180"/>
              <w:left w:type="dxa" w:w="140"/>
              <w:bottom w:type="dxa" w:w="180"/>
              <w:right w:type="dxa" w:w="140"/>
            </w:tcMar>
            <w:vAlign w:val="center"/>
          </w:tcPr>
          <w:p>
            <w:pPr>
              <w:spacing w:after="80" w:before="0"/>
              <w:jc w:val="center"/>
            </w:pPr>
            <w:r>
              <w:rPr>
                <w:rFonts w:ascii="Calibri" w:cs="Calibri" w:eastAsia="Calibri" w:hAnsi="Calibri"/>
                <w:b/>
                <w:bCs/>
                <w:i w:val="false"/>
                <w:iCs w:val="false"/>
                <w:color w:val="FFFFFF"/>
                <w:sz w:val="20"/>
                <w:szCs w:val="20"/>
              </w:rPr>
              <w:t xml:space="preserve">MVP — Livrables prioritaires (Sprint 1 et 2)</w:t>
            </w:r>
          </w:p>
        </w:tc>
        <w:tc>
          <w:tcPr>
            <w:tcW w:type="dxa" w:w="7200"/>
            <w:tcBorders>
              <w:top w:val="single" w:color="1B2A4A" w:sz="4"/>
              <w:left w:val="none" w:color="FFFFFF" w:sz="0"/>
              <w:bottom w:val="single" w:color="1B2A4A" w:sz="4"/>
              <w:right w:val="none" w:color="FFFFFF" w:sz="0"/>
            </w:tcBorders>
            <w:shd w:fill="F4F6F9" w:val="clear"/>
            <w:tcMar>
              <w:top w:type="dxa" w:w="140"/>
              <w:left w:type="dxa" w:w="140"/>
              <w:bottom w:type="dxa" w:w="14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 Generation de quiz en moins de 5 min : optimisation de l'endpoint POST /api/llm/generate-quiz/ avec retour en temps reel.</w:t>
            </w:r>
          </w:p>
          <w:p>
            <w:pPr>
              <w:spacing w:after="80" w:before="0"/>
              <w:jc w:val="left"/>
            </w:pPr>
            <w:r>
              <w:rPr>
                <w:rFonts w:ascii="Calibri" w:cs="Calibri" w:eastAsia="Calibri" w:hAnsi="Calibri"/>
                <w:b w:val="false"/>
                <w:bCs w:val="false"/>
                <w:i w:val="false"/>
                <w:iCs w:val="false"/>
                <w:color w:val="1A1A1A"/>
                <w:sz w:val="19"/>
                <w:szCs w:val="19"/>
              </w:rPr>
              <w:t xml:space="preserve">- Experience mobile sans friction : tests sur Samsung A53 et connexion 4G simulee avant toute mise en production.</w:t>
            </w:r>
          </w:p>
          <w:p>
            <w:pPr>
              <w:spacing w:after="80" w:before="0"/>
              <w:jc w:val="left"/>
            </w:pPr>
            <w:r>
              <w:rPr>
                <w:rFonts w:ascii="Calibri" w:cs="Calibri" w:eastAsia="Calibri" w:hAnsi="Calibri"/>
                <w:b w:val="false"/>
                <w:bCs w:val="false"/>
                <w:i w:val="false"/>
                <w:iCs w:val="false"/>
                <w:color w:val="1A1A1A"/>
                <w:sz w:val="19"/>
                <w:szCs w:val="19"/>
              </w:rPr>
              <w:t xml:space="preserve">- Export Word du quiz genere : reponse directe au critere de succes de Mme Lefevre (imprimable immediatement).</w:t>
            </w:r>
          </w:p>
          <w:p>
            <w:pPr>
              <w:spacing w:after="80" w:before="0"/>
              <w:jc w:val="left"/>
            </w:pPr>
            <w:r>
              <w:rPr>
                <w:rFonts w:ascii="Calibri" w:cs="Calibri" w:eastAsia="Calibri" w:hAnsi="Calibri"/>
                <w:b w:val="false"/>
                <w:bCs w:val="false"/>
                <w:i w:val="false"/>
                <w:iCs w:val="false"/>
                <w:color w:val="1A1A1A"/>
                <w:sz w:val="19"/>
                <w:szCs w:val="19"/>
              </w:rPr>
              <w:t xml:space="preserve">- Pack DPO complet : 4 pages legales redigees + registre des traitements (livrable perturbation J3-bis RGPD).</w:t>
            </w:r>
          </w:p>
          <w:p>
            <w:pPr>
              <w:spacing w:after="80" w:before="0"/>
              <w:jc w:val="left"/>
            </w:pPr>
            <w:r>
              <w:rPr>
                <w:rFonts w:ascii="Calibri" w:cs="Calibri" w:eastAsia="Calibri" w:hAnsi="Calibri"/>
                <w:b w:val="false"/>
                <w:bCs w:val="false"/>
                <w:i w:val="false"/>
                <w:iCs w:val="false"/>
                <w:color w:val="1A1A1A"/>
                <w:sz w:val="19"/>
                <w:szCs w:val="19"/>
              </w:rPr>
              <w:t xml:space="preserve">- Dashboard de progression par chapitre : retour immediat pour l'etudiant (« tu maitrises ce chapitre a 80 % »).</w:t>
            </w:r>
          </w:p>
        </w:tc>
      </w:tr>
      <w:tr>
        <w:tc>
          <w:tcPr>
            <w:tcW w:type="dxa" w:w="2160"/>
            <w:tcBorders>
              <w:top w:val="none" w:color="FFFFFF" w:sz="0"/>
              <w:left w:val="none" w:color="FFFFFF" w:sz="0"/>
              <w:bottom w:val="none" w:color="FFFFFF" w:sz="0"/>
              <w:right w:val="none" w:color="FFFFFF" w:sz="0"/>
            </w:tcBorders>
            <w:shd w:fill="2E5FA3" w:val="clear"/>
            <w:tcMar>
              <w:top w:type="dxa" w:w="180"/>
              <w:left w:type="dxa" w:w="140"/>
              <w:bottom w:type="dxa" w:w="180"/>
              <w:right w:type="dxa" w:w="140"/>
            </w:tcMar>
            <w:vAlign w:val="center"/>
          </w:tcPr>
          <w:p>
            <w:pPr>
              <w:spacing w:after="80" w:before="0"/>
              <w:jc w:val="center"/>
            </w:pPr>
            <w:r>
              <w:rPr>
                <w:rFonts w:ascii="Calibri" w:cs="Calibri" w:eastAsia="Calibri" w:hAnsi="Calibri"/>
                <w:b/>
                <w:bCs/>
                <w:i w:val="false"/>
                <w:iCs w:val="false"/>
                <w:color w:val="FFFFFF"/>
                <w:sz w:val="20"/>
                <w:szCs w:val="20"/>
              </w:rPr>
              <w:t xml:space="preserve">Release 2 — Differenciation produit (Sprint 3 et 4)</w:t>
            </w:r>
          </w:p>
        </w:tc>
        <w:tc>
          <w:tcPr>
            <w:tcW w:type="dxa" w:w="7200"/>
            <w:tcBorders>
              <w:top w:val="single" w:color="2E5FA3" w:sz="4"/>
              <w:left w:val="none" w:color="FFFFFF" w:sz="0"/>
              <w:bottom w:val="single" w:color="2E5FA3" w:sz="4"/>
              <w:right w:val="none" w:color="FFFFFF" w:sz="0"/>
            </w:tcBorders>
            <w:shd w:fill="F4F6F9" w:val="clear"/>
            <w:tcMar>
              <w:top w:type="dxa" w:w="140"/>
              <w:left w:type="dxa" w:w="140"/>
              <w:bottom w:type="dxa" w:w="14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 Mode degrade / hors-ligne : cache du dernier quiz avec synchronisation automatique au retour de la connexion reseau.</w:t>
            </w:r>
          </w:p>
          <w:p>
            <w:pPr>
              <w:spacing w:after="80" w:before="0"/>
              <w:jc w:val="left"/>
            </w:pPr>
            <w:r>
              <w:rPr>
                <w:rFonts w:ascii="Calibri" w:cs="Calibri" w:eastAsia="Calibri" w:hAnsi="Calibri"/>
                <w:b w:val="false"/>
                <w:bCs w:val="false"/>
                <w:i w:val="false"/>
                <w:iCs w:val="false"/>
                <w:color w:val="1A1A1A"/>
                <w:sz w:val="19"/>
                <w:szCs w:val="19"/>
              </w:rPr>
              <w:t xml:space="preserve">- Tableau de bord KPI etablissement : taux d'adoption enseignant, score moyen par classe, progression hebdomadaire.</w:t>
            </w:r>
          </w:p>
          <w:p>
            <w:pPr>
              <w:spacing w:after="80" w:before="0"/>
              <w:jc w:val="left"/>
            </w:pPr>
            <w:r>
              <w:rPr>
                <w:rFonts w:ascii="Calibri" w:cs="Calibri" w:eastAsia="Calibri" w:hAnsi="Calibri"/>
                <w:b w:val="false"/>
                <w:bCs w:val="false"/>
                <w:i w:val="false"/>
                <w:iCs w:val="false"/>
                <w:color w:val="1A1A1A"/>
                <w:sz w:val="19"/>
                <w:szCs w:val="19"/>
              </w:rPr>
              <w:t xml:space="preserve">- Niveaux de difficulte configurables (A / B / C) : parametre de prompt LLM + choix dans l'interface.</w:t>
            </w:r>
          </w:p>
          <w:p>
            <w:pPr>
              <w:spacing w:after="80" w:before="0"/>
              <w:jc w:val="left"/>
            </w:pPr>
            <w:r>
              <w:rPr>
                <w:rFonts w:ascii="Calibri" w:cs="Calibri" w:eastAsia="Calibri" w:hAnsi="Calibri"/>
                <w:b w:val="false"/>
                <w:bCs w:val="false"/>
                <w:i w:val="false"/>
                <w:iCs w:val="false"/>
                <w:color w:val="1A1A1A"/>
                <w:sz w:val="19"/>
                <w:szCs w:val="19"/>
              </w:rPr>
              <w:t xml:space="preserve">- Mode demonstration sans inscription : rebond pour les visiteurs institutionnels et les enseignants curieux.</w:t>
            </w:r>
          </w:p>
          <w:p>
            <w:pPr>
              <w:spacing w:after="80" w:before="0"/>
              <w:jc w:val="left"/>
            </w:pPr>
            <w:r>
              <w:rPr>
                <w:rFonts w:ascii="Calibri" w:cs="Calibri" w:eastAsia="Calibri" w:hAnsi="Calibri"/>
                <w:b w:val="false"/>
                <w:bCs w:val="false"/>
                <w:i w:val="false"/>
                <w:iCs w:val="false"/>
                <w:color w:val="1A1A1A"/>
                <w:sz w:val="19"/>
                <w:szCs w:val="19"/>
              </w:rPr>
              <w:t xml:space="preserve">- Pilote commercial 3 mois gratuit : package d'onboarding structure pour les decideurs institutionnels.</w:t>
            </w:r>
          </w:p>
        </w:tc>
      </w:tr>
      <w:tr>
        <w:tc>
          <w:tcPr>
            <w:tcW w:type="dxa" w:w="2160"/>
            <w:tcBorders>
              <w:top w:val="none" w:color="FFFFFF" w:sz="0"/>
              <w:left w:val="none" w:color="FFFFFF" w:sz="0"/>
              <w:bottom w:val="none" w:color="FFFFFF" w:sz="0"/>
              <w:right w:val="none" w:color="FFFFFF" w:sz="0"/>
            </w:tcBorders>
            <w:shd w:fill="1A6B7A" w:val="clear"/>
            <w:tcMar>
              <w:top w:type="dxa" w:w="180"/>
              <w:left w:type="dxa" w:w="140"/>
              <w:bottom w:type="dxa" w:w="180"/>
              <w:right w:type="dxa" w:w="140"/>
            </w:tcMar>
            <w:vAlign w:val="center"/>
          </w:tcPr>
          <w:p>
            <w:pPr>
              <w:spacing w:after="80" w:before="0"/>
              <w:jc w:val="center"/>
            </w:pPr>
            <w:r>
              <w:rPr>
                <w:rFonts w:ascii="Calibri" w:cs="Calibri" w:eastAsia="Calibri" w:hAnsi="Calibri"/>
                <w:b/>
                <w:bCs/>
                <w:i w:val="false"/>
                <w:iCs w:val="false"/>
                <w:color w:val="FFFFFF"/>
                <w:sz w:val="20"/>
                <w:szCs w:val="20"/>
              </w:rPr>
              <w:t xml:space="preserve">Release 3 — Fidelisation et croissance (Roadmap aval)</w:t>
            </w:r>
          </w:p>
        </w:tc>
        <w:tc>
          <w:tcPr>
            <w:tcW w:type="dxa" w:w="7200"/>
            <w:tcBorders>
              <w:top w:val="single" w:color="1A6B7A" w:sz="4"/>
              <w:left w:val="none" w:color="FFFFFF" w:sz="0"/>
              <w:bottom w:val="single" w:color="1A6B7A" w:sz="4"/>
              <w:right w:val="none" w:color="FFFFFF" w:sz="0"/>
            </w:tcBorders>
            <w:shd w:fill="F4F6F9" w:val="clear"/>
            <w:tcMar>
              <w:top w:type="dxa" w:w="140"/>
              <w:left w:type="dxa" w:w="140"/>
              <w:bottom w:type="dxa" w:w="140"/>
              <w:right w:type="dxa" w:w="140"/>
            </w:tcMar>
            <w:vAlign w:val="top"/>
          </w:tcPr>
          <w:p>
            <w:pPr>
              <w:spacing w:after="80" w:before="0"/>
              <w:jc w:val="left"/>
            </w:pPr>
            <w:r>
              <w:rPr>
                <w:rFonts w:ascii="Calibri" w:cs="Calibri" w:eastAsia="Calibri" w:hAnsi="Calibri"/>
                <w:b w:val="false"/>
                <w:bCs w:val="false"/>
                <w:i w:val="false"/>
                <w:iCs w:val="false"/>
                <w:color w:val="1A1A1A"/>
                <w:sz w:val="19"/>
                <w:szCs w:val="19"/>
              </w:rPr>
              <w:t xml:space="preserve">- Rapport CA annuel auto-genere en PDF avec logo de l'etablissement (retour sur investissement pedagogique chiffre).</w:t>
            </w:r>
          </w:p>
          <w:p>
            <w:pPr>
              <w:spacing w:after="80" w:before="0"/>
              <w:jc w:val="left"/>
            </w:pPr>
            <w:r>
              <w:rPr>
                <w:rFonts w:ascii="Calibri" w:cs="Calibri" w:eastAsia="Calibri" w:hAnsi="Calibri"/>
                <w:b w:val="false"/>
                <w:bCs w:val="false"/>
                <w:i w:val="false"/>
                <w:iCs w:val="false"/>
                <w:color w:val="1A1A1A"/>
                <w:sz w:val="19"/>
                <w:szCs w:val="19"/>
              </w:rPr>
              <w:t xml:space="preserve">- Systeme de parrainage inter-promo : boucle virale organique centree sur Lea et ses camarades.</w:t>
            </w:r>
          </w:p>
          <w:p>
            <w:pPr>
              <w:spacing w:after="80" w:before="0"/>
              <w:jc w:val="left"/>
            </w:pPr>
            <w:r>
              <w:rPr>
                <w:rFonts w:ascii="Calibri" w:cs="Calibri" w:eastAsia="Calibri" w:hAnsi="Calibri"/>
                <w:b w:val="false"/>
                <w:bCs w:val="false"/>
                <w:i w:val="false"/>
                <w:iCs w:val="false"/>
                <w:color w:val="1A1A1A"/>
                <w:sz w:val="19"/>
                <w:szCs w:val="19"/>
              </w:rPr>
              <w:t xml:space="preserve">- SLA RGPD contractuel avec support DPO dedie en moins de 4 h ouvrables.</w:t>
            </w:r>
          </w:p>
          <w:p>
            <w:pPr>
              <w:spacing w:after="80" w:before="0"/>
              <w:jc w:val="left"/>
            </w:pPr>
            <w:r>
              <w:rPr>
                <w:rFonts w:ascii="Calibri" w:cs="Calibri" w:eastAsia="Calibri" w:hAnsi="Calibri"/>
                <w:b w:val="false"/>
                <w:bCs w:val="false"/>
                <w:i w:val="false"/>
                <w:iCs w:val="false"/>
                <w:color w:val="1A1A1A"/>
                <w:sz w:val="19"/>
                <w:szCs w:val="19"/>
              </w:rPr>
              <w:t xml:space="preserve">- Integration SSO Pronote / Moodle : reduction de la friction lors de l'onboarding cote etablissement.</w:t>
            </w:r>
          </w:p>
        </w:tc>
      </w:tr>
    </w:tbl>
    <w:p>
      <w:pPr>
        <w:spacing w:after="6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80" w:before="0"/>
              <w:jc w:val="left"/>
            </w:pPr>
            <w:r>
              <w:rPr>
                <w:rFonts w:ascii="Calibri" w:cs="Calibri" w:eastAsia="Calibri" w:hAnsi="Calibri"/>
                <w:b/>
                <w:bCs/>
                <w:i w:val="false"/>
                <w:iCs w:val="false"/>
                <w:color w:val="2E5FA3"/>
                <w:sz w:val="20"/>
                <w:szCs w:val="20"/>
              </w:rPr>
              <w:t xml:space="preserve">Note methodologique</w:t>
            </w:r>
          </w:p>
          <w:p>
            <w:pPr>
              <w:spacing w:after="80" w:before="0"/>
              <w:jc w:val="left"/>
            </w:pPr>
            <w:r>
              <w:rPr>
                <w:rFonts w:ascii="Calibri" w:cs="Calibri" w:eastAsia="Calibri" w:hAnsi="Calibri"/>
                <w:b w:val="false"/>
                <w:bCs w:val="false"/>
                <w:i/>
                <w:iCs/>
                <w:color w:val="6B7280"/>
                <w:sz w:val="19"/>
                <w:szCs w:val="19"/>
              </w:rPr>
              <w:t xml:space="preserve">Ce Customer Journey Map a ete construit a partir du document de persona v1.0 de l'equipe 28, du kit technique IPSSI_APOCAL_KIT (Django · React · PostgreSQL · Ollama) et du cadre pedagogique APOCAL'IPSSI 2026. Les phases du parcours correspondent aux etapes reelles d'adoption d'un outil SaaS EdTech dans le contexte francophone. Chaque opportunite identifiee est directement utilisable comme critere d'acceptation dans le backlog produit.</w:t>
            </w:r>
          </w:p>
        </w:tc>
      </w:tr>
    </w:tbl>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2026-06-29T15:55:54.876Z</dcterms:created>
  <dcterms:modified xsi:type="dcterms:W3CDTF">2026-06-29T15:55:54.876Z</dcterms:modified>
</cp:coreProperties>
</file>

<file path=docProps/custom.xml><?xml version="1.0" encoding="utf-8"?>
<Properties xmlns="http://schemas.openxmlformats.org/officeDocument/2006/custom-properties" xmlns:vt="http://schemas.openxmlformats.org/officeDocument/2006/docPropsVTypes"/>
</file>