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8"/>
        </w:rPr>
        <w:t>APOCAL'IPSSI — PERTURBATION J2 · BENCHMARK LLM LOCAL</w:t>
      </w:r>
    </w:p>
    <w:p>
      <w:pPr>
        <w:spacing w:before="40"/>
      </w:pPr>
      <w:r>
        <w:rPr>
          <w:b/>
          <w:color w:val="4F46E5"/>
          <w:sz w:val="40"/>
        </w:rPr>
        <w:t>Llama 3.1 8B — Fiche technique</w:t>
      </w:r>
    </w:p>
    <w:p>
      <w:r>
        <w:rPr>
          <w:b w:val="0"/>
          <w:i/>
          <w:color w:val="64748B"/>
          <w:sz w:val="22"/>
        </w:rPr>
        <w:t>Modèle de langage open-source de Meta, version intermédiaire à 8 milliards de paramètres.</w:t>
      </w:r>
    </w:p>
    <w:p>
      <w:pPr>
        <w:spacing w:before="200"/>
      </w:pPr>
      <w:r>
        <w:rPr>
          <w:b/>
          <w:color w:val="4F46E5"/>
          <w:sz w:val="26"/>
        </w:rPr>
        <w:t>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Projet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EduTutor IA · Édition 2026 · Semaine immersive Scrum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Équipe n°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28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Perturbation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J2 — Technique (latence → choix d'un LLM local, ADR)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Modèle évalué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Llama 3.1 8B (Meta) — open-source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Réalisé par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James MBA FONGANG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Version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Date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30/06/2026</w:t>
            </w:r>
          </w:p>
        </w:tc>
      </w:tr>
    </w:tbl>
    <w:p>
      <w:pPr>
        <w:spacing w:before="200"/>
      </w:pPr>
      <w:r>
        <w:rPr>
          <w:b/>
          <w:color w:val="4F46E5"/>
          <w:sz w:val="26"/>
        </w:rPr>
        <w:t>Notation de synthèse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3168"/>
        <w:gridCol w:w="6624"/>
      </w:tblGrid>
      <w:tr>
        <w:tc>
          <w:tcPr>
            <w:tcW w:type="dxa" w:w="3408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Critère</w:t>
            </w:r>
          </w:p>
        </w:tc>
        <w:tc>
          <w:tcPr>
            <w:tcW w:type="dxa" w:w="3408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Note /5</w:t>
            </w:r>
          </w:p>
        </w:tc>
        <w:tc>
          <w:tcPr>
            <w:tcW w:type="dxa" w:w="3408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Commentaire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Vitesse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b w:val="0"/>
                <w:i w:val="0"/>
                <w:color w:val="4F46E5"/>
                <w:sz w:val="20"/>
              </w:rPr>
              <w:t>★★★★☆  (4/5)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Rapide sur GPU ; correcte sur CPU mais latence sensible.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Qualité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b w:val="0"/>
                <w:i w:val="0"/>
                <w:color w:val="4F46E5"/>
                <w:sz w:val="20"/>
              </w:rPr>
              <w:t>★★★★☆  (4/5)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Bonne et polyvalente ; raisonnement et suivi d'instructions solides.</w:t>
            </w:r>
          </w:p>
        </w:tc>
      </w:tr>
    </w:tbl>
    <w:p>
      <w:pPr>
        <w:spacing w:before="200"/>
      </w:pPr>
      <w:r>
        <w:rPr>
          <w:b/>
          <w:color w:val="4F46E5"/>
          <w:sz w:val="26"/>
        </w:rPr>
        <w:t>Caractéristiques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Paramètres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8 milliards (8B)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Fenêtre de contexte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Jusqu'à 128 000 tokens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RAM recommandée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16 Go minimum (8 Go possible en quantification 4-bit ; 32 Go conseillés pour le confort)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Taille sur disque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≈ 16 Go en FP16  —  ≈ 4,7 Go en quantifié 4-bit (GGUF Q4)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GPU recommandé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NVIDIA RTX 3090 / 4070 Ti (12–24 Go VRAM) ou supérieur, ou Apple Silicon M2/M3 Pro/Max. Fonctionne aussi sur CPU, mais plus lentement.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Multilingue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Bon support multilingue (dont le français)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Licence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Llama 3.1 Community License (open-source, usage local hors-ligne possible)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Exécution locale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Compatible Ollama / llama.cpp (GGUF) — confidentialité des données</w:t>
            </w:r>
          </w:p>
        </w:tc>
      </w:tr>
    </w:tbl>
    <w:p>
      <w:pPr>
        <w:spacing w:before="200"/>
      </w:pPr>
      <w:r>
        <w:rPr>
          <w:b/>
          <w:color w:val="4F46E5"/>
          <w:sz w:val="26"/>
        </w:rPr>
        <w:t>Avantages &amp; inconvénients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048"/>
            <w:shd w:val="clear" w:fill="059669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2"/>
              </w:rPr>
              <w:t>Avantages</w:t>
            </w:r>
          </w:p>
        </w:tc>
        <w:tc>
          <w:tcPr>
            <w:tcW w:type="dxa" w:w="6048"/>
            <w:shd w:val="clear" w:fill="E11D4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2"/>
              </w:rPr>
              <w:t>Inconvénients</w:t>
            </w:r>
          </w:p>
        </w:tc>
      </w:tr>
      <w:tr>
        <w:tc>
          <w:tcPr>
            <w:tcW w:type="dxa" w:w="6048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20"/>
              </w:rPr>
              <w:t>• Bon compromis qualité / performance, plus précis et nuancé que les modèles 1B–3B.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Bonnes capacités de raisonnement, de code et de suivi d'instructions complexes.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Open-source, utilisable hors ligne et localement (confidentialité des données).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Large fenêtre de contexte (jusqu'à 128k tokens) et bon support multilingue.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Bonne base pour le fine-tuning sur des tâches spécifiques.</w:t>
            </w:r>
          </w:p>
        </w:tc>
        <w:tc>
          <w:tcPr>
            <w:tcW w:type="dxa" w:w="6048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20"/>
              </w:rPr>
              <w:t>• Plus exigeant en ressources qu'un modèle 1B–3B (RAM, disque, calcul).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Latence plus élevée sur CPU seul ; GPU quasi nécessaire pour un usage fluide.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Moins adapté aux appareils très limités (mobile bas de gamme, IoT).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Reste en dessous des modèles 70B+ sur les tâches de raisonnement très complexes.</w:t>
            </w:r>
          </w:p>
        </w:tc>
      </w:tr>
    </w:tbl>
    <w:p>
      <w:pPr>
        <w:spacing w:before="200"/>
      </w:pPr>
      <w:r>
        <w:rPr>
          <w:b/>
          <w:color w:val="4F46E5"/>
          <w:sz w:val="26"/>
        </w:rPr>
        <w:t>Pertinence pour EduTutor IA</w:t>
      </w:r>
    </w:p>
    <w:p>
      <w:r>
        <w:rPr>
          <w:b w:val="0"/>
          <w:i w:val="0"/>
          <w:color w:val="334155"/>
          <w:sz w:val="20"/>
        </w:rPr>
        <w:t>Pour la génération de quiz à partir d'un cours, Llama 3.1 8B offre un bon équilibre : qualité suffisante pour produire des QCM cohérents, exécution 100% locale (réponse aux exigences RGPD du persona David Chen, pas de LLM américain hébergé en cloud), et coût maîtrisé (pas de facturation par token). Contrepartie : il faut un serveur avec GPU ou une machine Apple Silicon correcte pour tenir une latence acceptable en démonstration.</w:t>
      </w:r>
    </w:p>
    <w:p>
      <w:pPr>
        <w:spacing w:before="200"/>
      </w:pPr>
      <w:r>
        <w:rPr>
          <w:b/>
          <w:color w:val="4F46E5"/>
          <w:sz w:val="26"/>
        </w:rPr>
        <w:t>Sources</w:t>
      </w:r>
    </w:p>
    <w:p>
      <w:r>
        <w:rPr>
          <w:b w:val="0"/>
          <w:i w:val="0"/>
          <w:color w:val="64748B"/>
          <w:sz w:val="18"/>
        </w:rPr>
        <w:t>• Documentation officielle Meta — Llama 3.1 (model card).</w:t>
      </w:r>
    </w:p>
    <w:p>
      <w:r>
        <w:rPr>
          <w:b w:val="0"/>
          <w:i w:val="0"/>
          <w:color w:val="64748B"/>
          <w:sz w:val="18"/>
        </w:rPr>
        <w:t>• Ollama — bibliothèque de modèles (llama3.1:8b) et tailles GGUF.</w:t>
      </w:r>
    </w:p>
    <w:p>
      <w:r>
        <w:rPr>
          <w:b w:val="0"/>
          <w:i w:val="0"/>
          <w:color w:val="64748B"/>
          <w:sz w:val="18"/>
        </w:rPr>
        <w:t>• Pratique courante de quantification GGUF Q4 (llama.cpp) pour l'estimation disque/RAM.</w:t>
      </w:r>
    </w:p>
    <w:p>
      <w:r>
        <w:rPr>
          <w:b w:val="0"/>
          <w:i/>
          <w:color w:val="64748B"/>
          <w:sz w:val="18"/>
        </w:rPr>
        <w:t>Note : les notes /5 sont des estimations comparatives dans le cadre du benchmark d'équipe (à fusionner dans le tableau comparatif final).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