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CAPTCHA Technologies</w:t>
      </w:r>
    </w:p>
    <w:p>
      <w:pPr>
        <w:pStyle w:val="Heading2"/>
        <w:jc w:val="center"/>
      </w:pPr>
      <w:r>
        <w:t xml:space="preserve">IT Procedure: New Employee Device Provisioning</w:t>
      </w:r>
    </w:p>
    <w:p/>
    <w:p>
      <w:r>
        <w:rPr>
          <w:b/>
          <w:bCs/>
        </w:rPr>
        <w:t xml:space="preserve">Classification: INTERNAL - Not for external distribution</w:t>
      </w:r>
    </w:p>
    <w:p>
      <w:r>
        <w:rPr>
          <w:i/>
          <w:iCs/>
        </w:rPr>
        <w:t xml:space="preserve">Owner: IT Department | Document ID: IT-PROC-014</w:t>
      </w:r>
    </w:p>
    <w:p/>
    <w:p>
      <w:pPr>
        <w:pStyle w:val="Heading3"/>
      </w:pPr>
      <w:r>
        <w:t xml:space="preserve">1. Purpose</w:t>
      </w:r>
    </w:p>
    <w:p>
      <w:r>
        <w:t xml:space="preserve">This procedure describes the standard process for provisioning laptops, accounts, and access for new CAPTCHA Technologies employees. It is intended for internal IT staff use only.</w:t>
      </w:r>
    </w:p>
    <w:p/>
    <w:p>
      <w:pPr>
        <w:pStyle w:val="Heading3"/>
      </w:pPr>
      <w:r>
        <w:t xml:space="preserve">2. Scope</w:t>
      </w:r>
    </w:p>
    <w:p>
      <w:r>
        <w:t xml:space="preserve">Applies to all new hires across HR, Finance, Sales, IT, and Security/GRC departments.</w:t>
      </w:r>
    </w:p>
    <w:p/>
    <w:p>
      <w:pPr>
        <w:pStyle w:val="Heading3"/>
      </w:pPr>
      <w:r>
        <w:t xml:space="preserve">3. Procedure Steps</w:t>
      </w:r>
    </w:p>
    <w:p>
      <w:r>
        <w:t xml:space="preserve">1. HR submits a New Hire Request form to IT via the internal service desk portal.</w:t>
      </w:r>
    </w:p>
    <w:p>
      <w:r>
        <w:t xml:space="preserve">2. IT creates a Microsoft Entra ID account using the naming convention firstname.lastname@captchatech.onmicrosoft.com.</w:t>
      </w:r>
    </w:p>
    <w:p>
      <w:r>
        <w:t xml:space="preserve">3. IT assigns the employee to the appropriate department security group (e.g., CAPTCHA-HR, CAPTCHA-Finance, CAPTCHA-Sales, CAPTCHA-IT, CAPTCHA-Security-GRC) based on the New Hire Request form.</w:t>
      </w:r>
    </w:p>
    <w:p>
      <w:r>
        <w:t xml:space="preserve">4. IT assigns a Microsoft 365 E5 license to the new account.</w:t>
      </w:r>
    </w:p>
    <w:p>
      <w:r>
        <w:t xml:space="preserve">5. IT images a standard-issue laptop with the corporate device baseline, including endpoint protection and Microsoft Purview sensitivity label policies.</w:t>
      </w:r>
    </w:p>
    <w:p>
      <w:r>
        <w:t xml:space="preserve">6. The employee's manager confirms access levels are correct within 5 business days of start date.</w:t>
      </w:r>
    </w:p>
    <w:p>
      <w:r>
        <w:t xml:space="preserve">7. Any deviation from standard access (e.g., elevated permissions) requires Security/GRC approval and is logged in the internal access request tracker.</w:t>
      </w:r>
    </w:p>
    <w:p/>
    <w:p>
      <w:pPr>
        <w:pStyle w:val="Heading3"/>
      </w:pPr>
      <w:r>
        <w:t xml:space="preserve">4. Related Documents</w:t>
      </w:r>
    </w:p>
    <w:p>
      <w:r>
        <w:t xml:space="preserve">Internal Access Control Matrix (Access Management), Role Design Standard (IT-STD-002).</w:t>
      </w:r>
    </w:p>
    <w:p/>
    <w:p>
      <w:pPr>
        <w:pStyle w:val="Heading3"/>
      </w:pPr>
      <w:r>
        <w:t xml:space="preserve">5. Confidentiality Note</w:t>
      </w:r>
    </w:p>
    <w:p>
      <w:r>
        <w:t xml:space="preserve">This document describes internal operational processes and naming conventions. While it does not contain customer, financial, or employee personal data, it should not be shared outside CAPTCHA Technologies.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2026-09-21T12:29:17.327Z</dcterms:created>
  <dcterms:modified xsi:type="dcterms:W3CDTF">2026-09-21T12:29:17.327Z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