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Heading1"/>
      </w:pPr>
      <w:r>
        <w:t xml:space="preserve">How to Manage Your MemberFrame Plan</w:t>
      </w:r>
    </w:p>
    <w:p>
      <w:r>
        <w:t xml:space="preserve">Your MemberFrame plan is the subscription you pay for the plugin itself, which is separate from the tiers your members buy. This page explains the plans, how to upgrade from your free trial, and how to change or cancel your plan later.</w:t>
      </w:r>
    </w:p>
    <w:p>
      <w:pPr>
        <w:pStyle w:val="Heading2"/>
        <w:keepNext/>
      </w:pPr>
      <w:r>
        <w:t xml:space="preserve">Video tutorial</w:t>
      </w:r>
    </w:p>
    <w:p>
      <w:pPr>
        <w:pStyle w:val="Placeholder"/>
      </w:pPr>
      <w:r>
        <w:rPr>
          <w:b/>
          <w:color w:val="7A5B00"/>
        </w:rPr>
        <w:t xml:space="preserve">[Add Manage MemberFrame Plan Video Tutorial]</w:t>
      </w:r>
    </w:p>
    <w:p>
      <w:pPr>
        <w:pStyle w:val="Heading2"/>
        <w:keepNext/>
      </w:pPr>
      <w:r>
        <w:t xml:space="preserve">The plans</w:t>
      </w:r>
    </w:p>
    <w:p>
      <w:r>
        <w:t xml:space="preserve">Every plan includes every MemberFrame feature, so you only choose how you want to pay.</w:t>
      </w:r>
    </w:p>
    <w:tbl>
      <w:tblPr>
        <w:tblStyle w:val="DocTable"/>
        <w:tblW w:w="9360" w:type="dxa"/>
        <w:tblLayout w:type="fixed"/>
        <w:tblLook w:val="04A0" w:firstRow="1"/>
      </w:tblPr>
      <w:tblGrid>
        <w:gridCol w:w="2995"/>
        <w:gridCol w:w="6365"/>
      </w:tblGrid>
      <w:tr>
        <w:trPr>
          <w:tblHeader/>
        </w:trPr>
        <w:tc>
          <w:tcPr>
            <w:tcW w:w="2995" w:type="dxa"/>
            <w:shd w:val="clear" w:color="auto" w:fill="EEF1FF"/>
          </w:tcPr>
          <w:p>
            <w:pPr>
              <w:pStyle w:val="TableText"/>
            </w:pPr>
            <w:r>
              <w:rPr>
                <w:b/>
              </w:rPr>
              <w:t xml:space="preserve">Plan</w:t>
            </w:r>
          </w:p>
        </w:tc>
        <w:tc>
          <w:tcPr>
            <w:tcW w:w="6365" w:type="dxa"/>
            <w:shd w:val="clear" w:color="auto" w:fill="EEF1FF"/>
          </w:tcPr>
          <w:p>
            <w:pPr>
              <w:pStyle w:val="TableText"/>
            </w:pPr>
            <w:r>
              <w:rPr>
                <w:b/>
              </w:rPr>
              <w:t xml:space="preserve">How you pay</w:t>
            </w:r>
          </w:p>
        </w:tc>
      </w:tr>
      <w:tr>
        <w:trPr>
          <w:cantSplit/>
        </w:trPr>
        <w:tc>
          <w:tcPr>
            <w:tcW w:w="2995" w:type="dxa"/>
          </w:tcPr>
          <w:p>
            <w:pPr>
              <w:pStyle w:val="TableText"/>
            </w:pPr>
            <w:r>
              <w:rPr>
                <w:b/>
              </w:rPr>
              <w:t xml:space="preserve">Monthly</w:t>
            </w:r>
          </w:p>
        </w:tc>
        <w:tc>
          <w:tcPr>
            <w:tcW w:w="6365" w:type="dxa"/>
          </w:tcPr>
          <w:p>
            <w:pPr>
              <w:pStyle w:val="TableText"/>
            </w:pPr>
            <w:r>
              <w:t xml:space="preserve">Every month.</w:t>
            </w:r>
          </w:p>
        </w:tc>
      </w:tr>
      <w:tr>
        <w:trPr>
          <w:cantSplit/>
        </w:trPr>
        <w:tc>
          <w:tcPr>
            <w:tcW w:w="2995" w:type="dxa"/>
          </w:tcPr>
          <w:p>
            <w:pPr>
              <w:pStyle w:val="TableText"/>
            </w:pPr>
            <w:r>
              <w:rPr>
                <w:b/>
              </w:rPr>
              <w:t xml:space="preserve">Yearly</w:t>
            </w:r>
          </w:p>
        </w:tc>
        <w:tc>
          <w:tcPr>
            <w:tcW w:w="6365" w:type="dxa"/>
          </w:tcPr>
          <w:p>
            <w:pPr>
              <w:pStyle w:val="TableText"/>
            </w:pPr>
            <w:r>
              <w:t xml:space="preserve">Once a year, for less than twelve monthly payments. The saving shows on the </w:t>
            </w:r>
            <w:r>
              <w:rPr>
                <w:b/>
              </w:rPr>
              <w:t xml:space="preserve">Yearly</w:t>
            </w:r>
            <w:r>
              <w:t xml:space="preserve"> button.</w:t>
            </w:r>
          </w:p>
        </w:tc>
      </w:tr>
      <w:tr>
        <w:trPr>
          <w:cantSplit/>
        </w:trPr>
        <w:tc>
          <w:tcPr>
            <w:tcW w:w="2995" w:type="dxa"/>
          </w:tcPr>
          <w:p>
            <w:pPr>
              <w:pStyle w:val="TableText"/>
            </w:pPr>
            <w:r>
              <w:rPr>
                <w:b/>
              </w:rPr>
              <w:t xml:space="preserve">Lifetime</w:t>
            </w:r>
          </w:p>
        </w:tc>
        <w:tc>
          <w:tcPr>
            <w:tcW w:w="6365" w:type="dxa"/>
          </w:tcPr>
          <w:p>
            <w:pPr>
              <w:pStyle w:val="TableText"/>
            </w:pPr>
            <w:r>
              <w:t xml:space="preserve">One payment, with no renewals. Shown under </w:t>
            </w:r>
            <w:r>
              <w:rPr>
                <w:b/>
              </w:rPr>
              <w:t xml:space="preserve">or, pay once</w:t>
            </w:r>
            <w:r>
              <w:t xml:space="preserve">, with the number of lifetime spots left when there is a limit.</w:t>
            </w:r>
          </w:p>
        </w:tc>
      </w:tr>
    </w:tbl>
    <w:p>
      <w:pPr>
        <w:pStyle w:val="Spacer"/>
      </w:pPr>
    </w:p>
    <w:p>
      <w:r>
        <w:t xml:space="preserve">The current prices show on each plan in the plugin.</w:t>
      </w:r>
    </w:p>
    <w:p>
      <w:pPr>
        <w:pStyle w:val="Heading2"/>
        <w:keepNext/>
      </w:pPr>
      <w:r>
        <w:t xml:space="preserve">Step 1: Open Manage Subscription</w:t>
      </w:r>
    </w:p>
    <w:p>
      <w:r>
        <w:t xml:space="preserve">Click the account icon at the top right of the plugin, then click </w:t>
      </w:r>
      <w:r>
        <w:rPr>
          <w:b/>
        </w:rPr>
        <w:t xml:space="preserve">Manage Subscription</w:t>
      </w:r>
      <w:r>
        <w:t xml:space="preserve"> under </w:t>
      </w:r>
      <w:r>
        <w:rPr>
          <w:b/>
        </w:rPr>
        <w:t xml:space="preserve">Plan Type</w:t>
      </w:r>
      <w:r>
        <w:t xml:space="preserve">. You can also click </w:t>
      </w:r>
      <w:r>
        <w:rPr>
          <w:b/>
        </w:rPr>
        <w:t xml:space="preserve">Upgrade</w:t>
      </w:r>
      <w:r>
        <w:t xml:space="preserve"> in the trial bar at the top of the plugin.</w:t>
      </w:r>
    </w:p>
    <w:p>
      <w:pPr>
        <w:pStyle w:val="Placeholder"/>
      </w:pPr>
      <w:r>
        <w:rPr>
          <w:b/>
          <w:color w:val="7A5B00"/>
        </w:rPr>
        <w:t xml:space="preserve">[Add Manage Subscription Screenshot]</w:t>
      </w:r>
    </w:p>
    <w:p>
      <w:pPr>
        <w:pStyle w:val="Heading2"/>
        <w:keepNext/>
      </w:pPr>
      <w:r>
        <w:t xml:space="preserve">Step 2: Choose a plan and pay</w:t>
      </w:r>
    </w:p>
    <w:p>
      <w:r>
        <w:t xml:space="preserve">Pick </w:t>
      </w:r>
      <w:r>
        <w:rPr>
          <w:b/>
        </w:rPr>
        <w:t xml:space="preserve">Monthly</w:t>
      </w:r>
      <w:r>
        <w:t xml:space="preserve"> or </w:t>
      </w:r>
      <w:r>
        <w:rPr>
          <w:b/>
        </w:rPr>
        <w:t xml:space="preserve">Yearly</w:t>
      </w:r>
      <w:r>
        <w:t xml:space="preserve"> with the switch, then click </w:t>
      </w:r>
      <w:r>
        <w:rPr>
          <w:b/>
        </w:rPr>
        <w:t xml:space="preserve">Upgrade Subscription</w:t>
      </w:r>
      <w:r>
        <w:t xml:space="preserve">, or click </w:t>
      </w:r>
      <w:r>
        <w:rPr>
          <w:b/>
        </w:rPr>
        <w:t xml:space="preserve">Get Lifetime Access</w:t>
      </w:r>
      <w:r>
        <w:t xml:space="preserve"> on the </w:t>
      </w:r>
      <w:r>
        <w:rPr>
          <w:b/>
        </w:rPr>
        <w:t xml:space="preserve">Lifetime</w:t>
      </w:r>
      <w:r>
        <w:t xml:space="preserve"> card to pay once. A card payment form will open inside the plugin, where you can also add a coupon code. When the payment goes through, a </w:t>
      </w:r>
      <w:r>
        <w:rPr>
          <w:b/>
        </w:rPr>
        <w:t xml:space="preserve">Payment Completed</w:t>
      </w:r>
      <w:r>
        <w:t xml:space="preserve"> message will confirm it, and the </w:t>
      </w:r>
      <w:r>
        <w:rPr>
          <w:b/>
        </w:rPr>
        <w:t xml:space="preserve">Made with Framefic</w:t>
      </w:r>
      <w:r>
        <w:t xml:space="preserve"> mark will disappear from your components.</w:t>
      </w:r>
    </w:p>
    <w:p>
      <w:pPr>
        <w:pStyle w:val="Heading2"/>
        <w:keepNext/>
      </w:pPr>
      <w:r>
        <w:t xml:space="preserve">Change your plan</w:t>
      </w:r>
    </w:p>
    <w:p>
      <w:r>
        <w:t xml:space="preserve">Open </w:t>
      </w:r>
      <w:r>
        <w:rPr>
          <w:b/>
        </w:rPr>
        <w:t xml:space="preserve">Manage Subscription</w:t>
      </w:r>
      <w:r>
        <w:t xml:space="preserve"> and click </w:t>
      </w:r>
      <w:r>
        <w:rPr>
          <w:b/>
        </w:rPr>
        <w:t xml:space="preserve">Upgrade Plan</w:t>
      </w:r>
      <w:r>
        <w:t xml:space="preserve">. Before you confirm, you will see the credit for the unused part of your current plan, the amount </w:t>
      </w:r>
      <w:r>
        <w:rPr>
          <w:b/>
        </w:rPr>
        <w:t xml:space="preserve">Due today</w:t>
      </w:r>
      <w:r>
        <w:t xml:space="preserve">, and when the new plan </w:t>
      </w:r>
      <w:r>
        <w:rPr>
          <w:b/>
        </w:rPr>
        <w:t xml:space="preserve">Renews</w:t>
      </w:r>
      <w:r>
        <w:t xml:space="preserve">. Click </w:t>
      </w:r>
      <w:r>
        <w:rPr>
          <w:b/>
        </w:rPr>
        <w:t xml:space="preserve">Confirm Plan Change</w:t>
      </w:r>
      <w:r>
        <w:t xml:space="preserve"> to switch. Moving to a smaller plan is not offered, so smaller plans show </w:t>
      </w:r>
      <w:r>
        <w:rPr>
          <w:b/>
        </w:rPr>
        <w:t xml:space="preserve">Not Available</w:t>
      </w:r>
      <w:r>
        <w:t xml:space="preserve">.</w:t>
      </w:r>
    </w:p>
    <w:p>
      <w:pPr>
        <w:pStyle w:val="Heading2"/>
        <w:keepNext/>
      </w:pPr>
      <w:r>
        <w:t xml:space="preserve">Cancel or resume your plan</w:t>
      </w:r>
    </w:p>
    <w:p>
      <w:r>
        <w:t xml:space="preserve">Click </w:t>
      </w:r>
      <w:r>
        <w:rPr>
          <w:b/>
        </w:rPr>
        <w:t xml:space="preserve">Cancel Subscription</w:t>
      </w:r>
      <w:r>
        <w:t xml:space="preserve">, tell MemberFrame why if you like (or click </w:t>
      </w:r>
      <w:r>
        <w:rPr>
          <w:b/>
        </w:rPr>
        <w:t xml:space="preserve">Skip and cancel anyway</w:t>
      </w:r>
      <w:r>
        <w:t xml:space="preserve">), then click </w:t>
      </w:r>
      <w:r>
        <w:rPr>
          <w:b/>
        </w:rPr>
        <w:t xml:space="preserve">Confirm cancellation</w:t>
      </w:r>
      <w:r>
        <w:t xml:space="preserve">. Your plan keeps working until the end of the period you paid for, and a notice in the plugin shows the date it ends, with a </w:t>
      </w:r>
      <w:r>
        <w:rPr>
          <w:b/>
        </w:rPr>
        <w:t xml:space="preserve">Resume</w:t>
      </w:r>
      <w:r>
        <w:t xml:space="preserve"> button if you change your mind before then.</w:t>
      </w:r>
    </w:p>
    <w:p>
      <w:pPr>
        <w:pStyle w:val="Heading2"/>
        <w:keepNext/>
      </w:pPr>
      <w:r>
        <w:t xml:space="preserve">What happens when a trial or plan ends</w:t>
      </w:r>
    </w:p>
    <w:p>
      <w:r>
        <w:t xml:space="preserve">When your free trial or your plan ends, a window will tell you, with buttons to upgrade or to log out. Until you choose a plan:</w:t>
      </w:r>
    </w:p>
    <w:p>
      <w:pPr>
        <w:pStyle w:val="ListParagraph"/>
        <w:numPr>
          <w:ilvl w:val="0"/>
          <w:numId w:val="1"/>
        </w:numPr>
      </w:pPr>
      <w:r>
        <w:t xml:space="preserve">Every tab in the plugin is locked except the account screen.</w:t>
      </w:r>
    </w:p>
    <w:p>
      <w:pPr>
        <w:pStyle w:val="ListParagraph"/>
        <w:numPr>
          <w:ilvl w:val="0"/>
          <w:numId w:val="1"/>
        </w:numPr>
      </w:pPr>
      <w:r>
        <w:t xml:space="preserve">Components on the canvas are locked, and their settings in Framer's right sidebar are replaced by a locked status.</w:t>
      </w:r>
    </w:p>
    <w:p>
      <w:pPr>
        <w:pStyle w:val="ListParagraph"/>
        <w:numPr>
          <w:ilvl w:val="0"/>
          <w:numId w:val="1"/>
        </w:numPr>
      </w:pPr>
      <w:r>
        <w:t xml:space="preserve">On your live site, each component's content is blurred and cannot be clicked, under a message that the site's MemberFrame plan has ended. Member sign in, checkout, and downloads stop working.</w:t>
      </w:r>
    </w:p>
    <w:p>
      <w:r>
        <w:t xml:space="preserve">Everything comes back as soon as you choose a plan, and your members, tiers, and settings are kept.</w:t>
      </w:r>
    </w:p>
    <w:p>
      <w:pPr>
        <w:pStyle w:val="Heading2"/>
        <w:keepNext/>
      </w:pPr>
      <w:r>
        <w:t xml:space="preserve">Notices you may see</w:t>
      </w:r>
    </w:p>
    <w:tbl>
      <w:tblPr>
        <w:tblStyle w:val="DocTable"/>
        <w:tblW w:w="9360" w:type="dxa"/>
        <w:tblLayout w:type="fixed"/>
        <w:tblLook w:val="04A0" w:firstRow="1"/>
      </w:tblPr>
      <w:tblGrid>
        <w:gridCol w:w="2995"/>
        <w:gridCol w:w="6365"/>
      </w:tblGrid>
      <w:tr>
        <w:trPr>
          <w:tblHeader/>
        </w:trPr>
        <w:tc>
          <w:tcPr>
            <w:tcW w:w="2995" w:type="dxa"/>
            <w:shd w:val="clear" w:color="auto" w:fill="EEF1FF"/>
          </w:tcPr>
          <w:p>
            <w:pPr>
              <w:pStyle w:val="TableText"/>
            </w:pPr>
            <w:r>
              <w:rPr>
                <w:b/>
              </w:rPr>
              <w:t xml:space="preserve">Notice</w:t>
            </w:r>
          </w:p>
        </w:tc>
        <w:tc>
          <w:tcPr>
            <w:tcW w:w="6365" w:type="dxa"/>
            <w:shd w:val="clear" w:color="auto" w:fill="EEF1FF"/>
          </w:tcPr>
          <w:p>
            <w:pPr>
              <w:pStyle w:val="TableText"/>
            </w:pPr>
            <w:r>
              <w:rPr>
                <w:b/>
              </w:rPr>
              <w:t xml:space="preserve">What to do</w:t>
            </w:r>
          </w:p>
        </w:tc>
      </w:tr>
      <w:tr>
        <w:trPr>
          <w:cantSplit/>
        </w:trPr>
        <w:tc>
          <w:tcPr>
            <w:tcW w:w="2995" w:type="dxa"/>
          </w:tcPr>
          <w:p>
            <w:pPr>
              <w:pStyle w:val="TableText"/>
            </w:pPr>
            <w:r>
              <w:rPr>
                <w:b/>
              </w:rPr>
              <w:t xml:space="preserve">Your payment failed</w:t>
            </w:r>
          </w:p>
        </w:tc>
        <w:tc>
          <w:tcPr>
            <w:tcW w:w="6365" w:type="dxa"/>
          </w:tcPr>
          <w:p>
            <w:pPr>
              <w:pStyle w:val="TableText"/>
            </w:pPr>
            <w:r>
              <w:t xml:space="preserve">Click </w:t>
            </w:r>
            <w:r>
              <w:rPr>
                <w:b/>
              </w:rPr>
              <w:t xml:space="preserve">Update card</w:t>
            </w:r>
            <w:r>
              <w:t xml:space="preserve"> so your plan keeps running. The payment is retried over the next few days.</w:t>
            </w:r>
          </w:p>
        </w:tc>
      </w:tr>
      <w:tr>
        <w:trPr>
          <w:cantSplit/>
        </w:trPr>
        <w:tc>
          <w:tcPr>
            <w:tcW w:w="2995" w:type="dxa"/>
          </w:tcPr>
          <w:p>
            <w:pPr>
              <w:pStyle w:val="TableText"/>
            </w:pPr>
            <w:r>
              <w:rPr>
                <w:b/>
              </w:rPr>
              <w:t xml:space="preserve">Your plan ends on</w:t>
            </w:r>
            <w:r>
              <w:t xml:space="preserve"> a date</w:t>
            </w:r>
          </w:p>
        </w:tc>
        <w:tc>
          <w:tcPr>
            <w:tcW w:w="6365" w:type="dxa"/>
          </w:tcPr>
          <w:p>
            <w:pPr>
              <w:pStyle w:val="TableText"/>
            </w:pPr>
            <w:r>
              <w:t xml:space="preserve">Your plan is cancelled. Click </w:t>
            </w:r>
            <w:r>
              <w:rPr>
                <w:b/>
              </w:rPr>
              <w:t xml:space="preserve">Resume</w:t>
            </w:r>
            <w:r>
              <w:t xml:space="preserve"> in the notice if you want to keep it.</w:t>
            </w:r>
          </w:p>
        </w:tc>
      </w:tr>
      <w:tr>
        <w:trPr>
          <w:cantSplit/>
        </w:trPr>
        <w:tc>
          <w:tcPr>
            <w:tcW w:w="2995" w:type="dxa"/>
          </w:tcPr>
          <w:p>
            <w:pPr>
              <w:pStyle w:val="TableText"/>
            </w:pPr>
            <w:r>
              <w:rPr>
                <w:b/>
              </w:rPr>
              <w:t xml:space="preserve">Your plan renews on</w:t>
            </w:r>
            <w:r>
              <w:t xml:space="preserve"> a date</w:t>
            </w:r>
          </w:p>
        </w:tc>
        <w:tc>
          <w:tcPr>
            <w:tcW w:w="6365" w:type="dxa"/>
          </w:tcPr>
          <w:p>
            <w:pPr>
              <w:pStyle w:val="TableText"/>
            </w:pPr>
            <w:r>
              <w:t xml:space="preserve">Nothing to do. You can change or cancel it in </w:t>
            </w:r>
            <w:r>
              <w:rPr>
                <w:b/>
              </w:rPr>
              <w:t xml:space="preserve">Manage Subscription</w:t>
            </w:r>
            <w:r>
              <w:t xml:space="preserve">.</w:t>
            </w:r>
          </w:p>
        </w:tc>
      </w:tr>
    </w:tbl>
    <w:p>
      <w:pPr>
        <w:pStyle w:val="Spacer"/>
      </w:pPr>
    </w:p>
    <w:p>
      <w:pPr>
        <w:pStyle w:val="Heading2"/>
        <w:keepNext/>
      </w:pPr>
      <w:r>
        <w:t xml:space="preserve">Check that it works</w:t>
      </w:r>
    </w:p>
    <w:p>
      <w:r>
        <w:t xml:space="preserve">Open the account screen after paying. </w:t>
      </w:r>
      <w:r>
        <w:rPr>
          <w:b/>
        </w:rPr>
        <w:t xml:space="preserve">Plan Type</w:t>
      </w:r>
      <w:r>
        <w:t xml:space="preserve"> should show your plan with a </w:t>
      </w:r>
      <w:r>
        <w:rPr>
          <w:b/>
        </w:rPr>
        <w:t xml:space="preserve">PRO</w:t>
      </w:r>
      <w:r>
        <w:t xml:space="preserve"> badge, and the trial bar should be gone.</w:t>
      </w:r>
    </w:p>
    <w:p>
      <w:pPr>
        <w:pStyle w:val="Heading2"/>
        <w:keepNext/>
      </w:pPr>
      <w:r>
        <w:t xml:space="preserve">What to read next</w:t>
      </w:r>
    </w:p>
    <w:p>
      <w:pPr>
        <w:pStyle w:val="ListParagraph"/>
        <w:numPr>
          <w:ilvl w:val="0"/>
          <w:numId w:val="1"/>
        </w:numPr>
      </w:pPr>
      <w:r>
        <w:rPr>
          <w:b/>
        </w:rPr>
        <w:t xml:space="preserve">How to create your account and start your free trial</w:t>
      </w:r>
    </w:p>
    <w:p>
      <w:pPr>
        <w:pStyle w:val="ListParagraph"/>
        <w:numPr>
          <w:ilvl w:val="0"/>
          <w:numId w:val="1"/>
        </w:numPr>
      </w:pPr>
      <w:r>
        <w:rPr>
          <w:b/>
        </w:rPr>
        <w:t xml:space="preserve">How to add and style a component</w:t>
      </w:r>
    </w:p>
    <w:p>
      <w:pPr>
        <w:pStyle w:val="ListParagraph"/>
        <w:numPr>
          <w:ilvl w:val="0"/>
          <w:numId w:val="1"/>
        </w:numPr>
      </w:pPr>
      <w:r>
        <w:rPr>
          <w:b/>
        </w:rPr>
        <w:t xml:space="preserve">Troubleshooting and FAQ</w:t>
      </w:r>
    </w:p>
    <w:sectPr>
      <w:footerReference w:type="default" r:id="rIdFooter"/>
      <w:pgSz w:w="12240" w:h="15840"/>
      <w:pgMar w:top="1300" w:right="1440" w:bottom="1300" w:left="1440" w:header="708" w:footer="600" w:gutter="0"/>
    </w:sectPr>
  </w:body>
</w:document>
</file>

<file path=word/footer1.xml><?xml version="1.0" encoding="utf-8"?>
<w:ftr xmlns:w="http://schemas.openxmlformats.org/wordprocessingml/2006/main" xmlns:r="http://schemas.openxmlformats.org/officeDocument/2006/relationships">
  <w:p>
    <w:pPr>
      <w:pStyle w:val="Footer"/>
    </w:pPr>
    <w:r>
      <w:t xml:space="preserve">MemberFrame Help Docs  |  Page </w:t>
    </w: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pPr>
        <w:ind w:left="720" w:hanging="360"/>
      </w:pPr>
      <w:rPr>
        <w:rFonts w:ascii="Calibri" w:hAnsi="Calibri"/>
      </w:rPr>
    </w:lvl>
  </w:abstractNum>
  <w:abstractNum w:abstractNumId="1">
    <w:multiLevelType w:val="singleLevel"/>
    <w:lvl w:ilvl="0">
      <w:start w:val="1"/>
      <w:numFmt w:val="decimal"/>
      <w:lvlText w:val="%1."/>
      <w:lvlJc w:val="left"/>
      <w:pPr>
        <w:ind w:left="720" w:hanging="360"/>
      </w:pPr>
    </w:lvl>
  </w:abstractNum>
  <w:num w:numId="1">
    <w:abstractNumId w:val="0"/>
  </w:num>
</w:numbering>
</file>

<file path=word/settings.xml><?xml version="1.0" encoding="utf-8"?>
<w:settings xmlns:w="http://schemas.openxmlformats.org/wordprocessingml/2006/main" xmlns:r="http://schemas.openxmlformats.org/officeDocument/2006/relationships">
  <w:defaultTabStop w:val="720"/>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Calibri" w:hAnsi="Calibri" w:eastAsia="Calibri" w:cs="Calibri"/>
        <w:sz w:val="22"/>
        <w:szCs w:val="22"/>
        <w:color w:val="1F2328"/>
        <w:lang w:val="en-US"/>
      </w:rPr>
    </w:rPrDefault>
    <w:pPrDefault>
      <w:pPr>
        <w:spacing w:after="140" w:line="288" w:lineRule="auto"/>
      </w:pPr>
    </w:pPrDefault>
  </w:docDefaults>
  <w:style w:type="paragraph" w:default="1" w:styleId="Normal">
    <w:name w:val="Normal"/>
    <w:qFormat/>
  </w:style>
  <w:style w:type="paragraph" w:styleId="Title">
    <w:name w:val="Title"/>
    <w:basedOn w:val="Normal"/>
    <w:qFormat/>
    <w:pPr>
      <w:spacing w:before="1800" w:after="200"/>
    </w:pPr>
    <w:rPr>
      <w:b/>
      <w:sz w:val="56"/>
      <w:color w:val="1B2559"/>
    </w:rPr>
  </w:style>
  <w:style w:type="paragraph" w:styleId="Subtitle">
    <w:name w:val="Subtitle"/>
    <w:basedOn w:val="Normal"/>
    <w:qFormat/>
    <w:pPr>
      <w:spacing w:after="600"/>
    </w:pPr>
    <w:rPr>
      <w:sz w:val="28"/>
      <w:color w:val="5A6275"/>
    </w:rPr>
  </w:style>
  <w:style w:type="paragraph" w:styleId="Heading1">
    <w:name w:val="heading 1"/>
    <w:basedOn w:val="Normal"/>
    <w:next w:val="Normal"/>
    <w:qFormat/>
    <w:pPr>
      <w:keepNext/>
      <w:spacing w:before="120" w:after="200"/>
      <w:outlineLvl w:val="0"/>
    </w:pPr>
    <w:rPr>
      <w:sz w:val="40"/>
      <w:color w:val="1B2559"/>
    </w:rPr>
  </w:style>
  <w:style w:type="paragraph" w:styleId="Heading2">
    <w:name w:val="heading 2"/>
    <w:basedOn w:val="Normal"/>
    <w:next w:val="Normal"/>
    <w:qFormat/>
    <w:pPr>
      <w:keepNext/>
      <w:spacing w:before="320" w:after="120"/>
      <w:outlineLvl w:val="1"/>
    </w:pPr>
    <w:rPr>
      <w:sz w:val="30"/>
      <w:color w:val="1B2559"/>
    </w:rPr>
  </w:style>
  <w:style w:type="paragraph" w:styleId="Heading3">
    <w:name w:val="heading 3"/>
    <w:basedOn w:val="Normal"/>
    <w:next w:val="Normal"/>
    <w:qFormat/>
    <w:pPr>
      <w:keepNext/>
      <w:spacing w:before="240" w:after="80"/>
      <w:outlineLvl w:val="2"/>
    </w:pPr>
    <w:rPr>
      <w:b/>
      <w:sz w:val="24"/>
      <w:color w:val="1B2559"/>
    </w:rPr>
  </w:style>
  <w:style w:type="paragraph" w:styleId="ListParagraph">
    <w:name w:val="List Paragraph"/>
    <w:basedOn w:val="Normal"/>
    <w:qFormat/>
    <w:pPr>
      <w:spacing w:after="80"/>
      <w:ind w:left="720"/>
    </w:pPr>
  </w:style>
  <w:style w:type="paragraph" w:styleId="Placeholder">
    <w:name w:val="Placeholder"/>
    <w:basedOn w:val="Normal"/>
    <w:pPr>
      <w:pBdr>
        <w:left w:val="single" w:sz="18" w:space="8" w:color="E0A800"/>
      </w:pBdr>
      <w:shd w:val="clear" w:color="auto" w:fill="FFF6D6"/>
      <w:spacing w:before="120" w:after="200"/>
      <w:ind w:left="160"/>
    </w:pPr>
  </w:style>
  <w:style w:type="paragraph" w:styleId="Note">
    <w:name w:val="Note"/>
    <w:basedOn w:val="Normal"/>
    <w:pPr>
      <w:pBdr>
        <w:left w:val="single" w:sz="18" w:space="8" w:color="5271FF"/>
      </w:pBdr>
      <w:shd w:val="clear" w:color="auto" w:fill="EEF1FF"/>
      <w:spacing w:before="120" w:after="200"/>
      <w:ind w:left="160"/>
    </w:pPr>
  </w:style>
  <w:style w:type="paragraph" w:styleId="TableText">
    <w:name w:val="Table Text"/>
    <w:basedOn w:val="Normal"/>
    <w:pPr>
      <w:spacing w:before="40" w:after="40" w:line="264" w:lineRule="auto"/>
    </w:pPr>
    <w:rPr>
      <w:sz w:val="20"/>
    </w:rPr>
  </w:style>
  <w:style w:type="paragraph" w:styleId="Spacer">
    <w:name w:val="Spacer"/>
    <w:basedOn w:val="Normal"/>
    <w:pPr>
      <w:spacing w:after="60" w:line="120" w:lineRule="exact"/>
    </w:pPr>
  </w:style>
  <w:style w:type="paragraph" w:styleId="Contents1">
    <w:name w:val="Contents 1"/>
    <w:basedOn w:val="Normal"/>
    <w:pPr>
      <w:spacing w:after="60"/>
    </w:pPr>
  </w:style>
  <w:style w:type="paragraph" w:styleId="Contents2">
    <w:name w:val="Contents 2"/>
    <w:basedOn w:val="Normal"/>
    <w:pPr>
      <w:spacing w:after="60"/>
      <w:ind w:left="400"/>
    </w:pPr>
  </w:style>
  <w:style w:type="paragraph" w:styleId="ContentsGroup">
    <w:name w:val="Contents Group"/>
    <w:basedOn w:val="Normal"/>
    <w:pPr>
      <w:spacing w:before="120" w:after="60"/>
    </w:pPr>
  </w:style>
  <w:style w:type="paragraph" w:styleId="Footer">
    <w:name w:val="footer"/>
    <w:basedOn w:val="Normal"/>
    <w:pPr>
      <w:jc w:val="center"/>
      <w:spacing w:after="0"/>
    </w:pPr>
    <w:rPr>
      <w:sz w:val="18"/>
      <w:color w:val="8A90A0"/>
    </w:rPr>
  </w:style>
  <w:style w:type="character" w:styleId="Hyperlink">
    <w:name w:val="Hyperlink"/>
    <w:rPr>
      <w:color w:val="3B51B8"/>
      <w:u w:val="single"/>
    </w:rPr>
  </w:style>
  <w:style w:type="table" w:styleId="DocTable">
    <w:name w:val="Doc Table"/>
    <w:tblPr>
      <w:tblBorders>
        <w:top w:val="single" w:sz="4" w:color="D5D9E2"/>
        <w:left w:val="single" w:sz="4" w:color="D5D9E2"/>
        <w:bottom w:val="single" w:sz="4" w:color="D5D9E2"/>
        <w:right w:val="single" w:sz="4" w:color="D5D9E2"/>
        <w:insideH w:val="single" w:sz="4" w:color="D5D9E2"/>
        <w:insideV w:val="single" w:sz="4" w:color="D5D9E2"/>
      </w:tblBorders>
      <w:tblCellMar>
        <w:top w:w="60" w:type="dxa"/>
        <w:left w:w="110" w:type="dxa"/>
        <w:bottom w:w="60" w:type="dxa"/>
        <w:right w:w="110" w:type="dxa"/>
      </w:tblCellMar>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Footer" Type="http://schemas.openxmlformats.org/officeDocument/2006/relationships/footer" Target="footer1.xml"/></Relationships>
</file>

<file path=docProps/app.xml><?xml version="1.0" encoding="utf-8"?>
<Properties xmlns="http://schemas.openxmlformats.org/officeDocument/2006/extended-properties">
  <Application>MemberFrame docs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How to Manage Your MemberFrame Plan</dc:title>
  <dc:creator>MemberFrame</dc:creator>
  <dcterms:created xsi:type="dcterms:W3CDTF">2026-10-25T08:44:04Z</dcterms:created>
  <dcterms:modified xsi:type="dcterms:W3CDTF">2026-10-25T08:44:04Z</dcterms:modified>
</cp:coreProperties>
</file>