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897DD9" w:rsidRDefault="00897DD9" w:rsidP="00F07B7E">
      <w:pPr>
        <w:jc w:val="both"/>
        <w:rPr>
          <w:b/>
          <w:sz w:val="28"/>
          <w:lang w:val="en-US"/>
        </w:rPr>
      </w:pPr>
      <w:r w:rsidRPr="00897DD9">
        <w:rPr>
          <w:b/>
          <w:sz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proofErr w:type="spellStart"/>
      <w:r w:rsidRPr="00356DBB">
        <w:rPr>
          <w:i/>
          <w:iCs/>
        </w:rPr>
        <w:t>tokenizen</w:t>
      </w:r>
      <w:proofErr w:type="spellEnd"/>
      <w:r>
        <w:t xml:space="preserve"> we de source files.</w:t>
      </w:r>
      <w:r w:rsidR="00356DBB">
        <w:t xml:space="preserve"> Met behulp van een Python </w:t>
      </w:r>
      <w:proofErr w:type="spellStart"/>
      <w:r w:rsidR="00356DBB">
        <w:t>language</w:t>
      </w:r>
      <w:proofErr w:type="spellEnd"/>
      <w:r w:rsidR="00356DBB">
        <w:t xml:space="preserve"> </w:t>
      </w:r>
      <w:proofErr w:type="spellStart"/>
      <w:r w:rsidR="00356DBB">
        <w:t>parser</w:t>
      </w:r>
      <w:proofErr w:type="spellEnd"/>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bookmarkStart w:id="0" w:name="_GoBack"/>
      <w:bookmarkEnd w:id="0"/>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 xml:space="preserve">uniforme </w:t>
      </w:r>
      <w:proofErr w:type="spellStart"/>
      <w:r w:rsidRPr="00386571">
        <w:t>ID’s</w:t>
      </w:r>
      <w:proofErr w:type="spellEnd"/>
      <w:r w:rsidRPr="00386571">
        <w:t xml:space="preserve">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proofErr w:type="spellStart"/>
      <w:r w:rsidRPr="00FE604F">
        <w:rPr>
          <w:lang w:val="en-GB"/>
        </w:rPr>
        <w:t>Vb</w:t>
      </w:r>
      <w:proofErr w:type="spellEnd"/>
      <w:r w:rsidRPr="00FE604F">
        <w:rPr>
          <w:lang w:val="en-GB"/>
        </w:rPr>
        <w:t xml:space="preserve"> “</w:t>
      </w:r>
      <w:proofErr w:type="spellStart"/>
      <w:r w:rsidRPr="00FE604F">
        <w:rPr>
          <w:rFonts w:ascii="Courier New" w:hAnsi="Courier New" w:cs="Courier New"/>
          <w:sz w:val="18"/>
          <w:szCs w:val="18"/>
          <w:lang w:val="en-GB"/>
        </w:rPr>
        <w:t>my_list</w:t>
      </w:r>
      <w:proofErr w:type="spellEnd"/>
      <w:r w:rsidRPr="00FE604F">
        <w:rPr>
          <w:rFonts w:ascii="Courier New" w:hAnsi="Courier New" w:cs="Courier New"/>
          <w:sz w:val="18"/>
          <w:szCs w:val="18"/>
          <w:lang w:val="en-GB"/>
        </w:rPr>
        <w:t xml:space="preserve"> = { x * x for x in range(10) }</w:t>
      </w:r>
      <w:r w:rsidRPr="00FE604F">
        <w:rPr>
          <w:lang w:val="en-GB"/>
        </w:rPr>
        <w:t>” =&gt;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for$inrange</w:t>
      </w:r>
      <w:proofErr w:type="spellEnd"/>
      <w:r w:rsidRPr="00FE604F">
        <w:rPr>
          <w:rFonts w:ascii="Courier New" w:hAnsi="Courier New" w:cs="Courier New"/>
          <w:sz w:val="18"/>
          <w:szCs w:val="18"/>
          <w:lang w:val="en-GB"/>
        </w:rPr>
        <w:t>(10)}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w:t>
      </w:r>
      <w:proofErr w:type="spellEnd"/>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 xml:space="preserve">Explain how </w:t>
      </w:r>
      <w:proofErr w:type="spellStart"/>
      <w:r w:rsidRPr="009240E1">
        <w:rPr>
          <w:i/>
          <w:lang w:val="en-US"/>
        </w:rPr>
        <w:t>Minhash</w:t>
      </w:r>
      <w:proofErr w:type="spellEnd"/>
      <w:r w:rsidRPr="009240E1">
        <w:rPr>
          <w:i/>
          <w:lang w:val="en-US"/>
        </w:rPr>
        <w:t xml:space="preserve">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w:t>
      </w:r>
      <w:proofErr w:type="spellStart"/>
      <w:r>
        <w:t>chunks</w:t>
      </w:r>
      <w:proofErr w:type="spellEnd"/>
      <w:r>
        <w:t xml:space="preserve"> worden verdeeld over </w:t>
      </w:r>
      <w:r w:rsidR="00272CAA">
        <w:t xml:space="preserve">enkele </w:t>
      </w:r>
      <w:proofErr w:type="spellStart"/>
      <w:r w:rsidR="00272CAA">
        <w:t>compute</w:t>
      </w:r>
      <w:proofErr w:type="spellEnd"/>
      <w:r>
        <w:t xml:space="preserve"> </w:t>
      </w:r>
      <w:proofErr w:type="spellStart"/>
      <w:r>
        <w:t>nodes</w:t>
      </w:r>
      <w:proofErr w:type="spellEnd"/>
      <w:r>
        <w:t xml:space="preserve">, kan het parallel berekenen van </w:t>
      </w:r>
      <w:proofErr w:type="spellStart"/>
      <w:r>
        <w:t>MinHashes</w:t>
      </w:r>
      <w:proofErr w:type="spellEnd"/>
      <w:r>
        <w:t xml:space="preserve"> voor problemen zorgen.</w:t>
      </w:r>
      <w:r w:rsidR="00343D5A">
        <w:t xml:space="preserve"> De </w:t>
      </w:r>
      <w:proofErr w:type="spellStart"/>
      <w:r w:rsidR="00343D5A">
        <w:t>nodes</w:t>
      </w:r>
      <w:proofErr w:type="spellEnd"/>
      <w:r w:rsidR="00343D5A">
        <w:t xml:space="preserve"> kunnen vlot de </w:t>
      </w:r>
      <w:proofErr w:type="spellStart"/>
      <w:r w:rsidR="00343D5A">
        <w:t>tokenizing</w:t>
      </w:r>
      <w:proofErr w:type="spellEnd"/>
      <w:r w:rsidR="00343D5A">
        <w:t xml:space="preserve">- en </w:t>
      </w:r>
      <w:proofErr w:type="spellStart"/>
      <w:r w:rsidR="00343D5A">
        <w:t>shingling</w:t>
      </w:r>
      <w:proofErr w:type="spellEnd"/>
      <w:r w:rsidR="00343D5A">
        <w:t>-stap</w:t>
      </w:r>
      <w:r w:rsidR="00272CAA">
        <w:t>pen</w:t>
      </w:r>
      <w:r w:rsidR="00343D5A">
        <w:t xml:space="preserve"> uitvoeren. Bij de </w:t>
      </w:r>
      <w:proofErr w:type="spellStart"/>
      <w:r w:rsidR="00343D5A">
        <w:t>chunk</w:t>
      </w:r>
      <w:proofErr w:type="spellEnd"/>
      <w:r w:rsidR="00343D5A">
        <w:t xml:space="preserve">-aanpak verliezen we echter de bundeling van een document. Je kan de </w:t>
      </w:r>
      <w:proofErr w:type="spellStart"/>
      <w:r w:rsidR="00343D5A">
        <w:t>MinHashing</w:t>
      </w:r>
      <w:proofErr w:type="spellEnd"/>
      <w:r w:rsidR="00343D5A">
        <w:t xml:space="preserve">-stap enkel uitvoeren op bit-vectoren die op het volledige document zijn gebaseerd. Om de shingles naar behoren te </w:t>
      </w:r>
      <w:proofErr w:type="spellStart"/>
      <w:r w:rsidR="00343D5A">
        <w:t>hashen</w:t>
      </w:r>
      <w:proofErr w:type="spellEnd"/>
      <w:r w:rsidR="00343D5A">
        <w:t xml:space="preserve">, zouden we daarom eerst alle </w:t>
      </w:r>
      <w:proofErr w:type="spellStart"/>
      <w:r w:rsidR="00343D5A">
        <w:t>chunks</w:t>
      </w:r>
      <w:proofErr w:type="spellEnd"/>
      <w:r w:rsidR="00343D5A">
        <w:t xml:space="preserve">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 xml:space="preserve">niet erg variabel zijn. Dit betekent dat we documenten over </w:t>
      </w:r>
      <w:proofErr w:type="spellStart"/>
      <w:r w:rsidR="00DA2300">
        <w:t>nodes</w:t>
      </w:r>
      <w:proofErr w:type="spellEnd"/>
      <w:r w:rsidR="00DA2300">
        <w:t xml:space="preserve"> kunnen verdelen zonder een echt ongelijkmatige werkverdeling te veroorzaken. Alle voorgenoemde stappen kunnen dan op de </w:t>
      </w:r>
      <w:proofErr w:type="spellStart"/>
      <w:r w:rsidR="00DA2300">
        <w:t>nodes</w:t>
      </w:r>
      <w:proofErr w:type="spellEnd"/>
      <w:r w:rsidR="00DA2300">
        <w:t xml:space="preserve"> gebeuren zonder de omslachtige defragmentatiestap. Omdat alle documenten ‘heel’ blijven zullen de </w:t>
      </w:r>
      <w:proofErr w:type="spellStart"/>
      <w:r w:rsidR="00DA2300">
        <w:t>MinHash</w:t>
      </w:r>
      <w:proofErr w:type="spellEnd"/>
      <w:r w:rsidR="00DA2300">
        <w:t xml:space="preserve"> signaturen correct worden berekend.</w:t>
      </w:r>
    </w:p>
    <w:p w14:paraId="4A84EFCF" w14:textId="314AC07E" w:rsidR="00606D49" w:rsidRPr="00C71D03" w:rsidRDefault="00CD45D3" w:rsidP="00F07B7E">
      <w:pPr>
        <w:pStyle w:val="Lijstalinea"/>
        <w:numPr>
          <w:ilvl w:val="0"/>
          <w:numId w:val="1"/>
        </w:numPr>
        <w:jc w:val="both"/>
      </w:pPr>
      <w:r>
        <w:t xml:space="preserve">Om een goede </w:t>
      </w:r>
      <w:proofErr w:type="spellStart"/>
      <w:r>
        <w:t>Signature</w:t>
      </w:r>
      <w:proofErr w:type="spellEnd"/>
      <w:r>
        <w:t xml:space="preserve"> Matrix te bekomen, moeten we een aantal pseudo-random permutaties uitvoeren op de rij-(/bit-)indices van de </w:t>
      </w:r>
      <w:proofErr w:type="spellStart"/>
      <w:r>
        <w:t>gehashte</w:t>
      </w:r>
      <w:proofErr w:type="spellEnd"/>
      <w:r>
        <w:t xml:space="preserve"> </w:t>
      </w:r>
      <w:proofErr w:type="spellStart"/>
      <w:r>
        <w:t>bitvectoren</w:t>
      </w:r>
      <w:proofErr w:type="spellEnd"/>
      <w:r>
        <w:t xml:space="preserve"> van shingles. Deze permutaties worden gedaan via een aantal </w:t>
      </w:r>
      <w:proofErr w:type="spellStart"/>
      <w:r>
        <w:t>hashfuncties</w:t>
      </w:r>
      <w:proofErr w:type="spellEnd"/>
      <w:r>
        <w:t xml:space="preserve">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 xml:space="preserve">ver de beschikbare </w:t>
      </w:r>
      <w:proofErr w:type="spellStart"/>
      <w:r>
        <w:t>compute</w:t>
      </w:r>
      <w:proofErr w:type="spellEnd"/>
      <w:r>
        <w:t xml:space="preserve"> </w:t>
      </w:r>
      <w:proofErr w:type="spellStart"/>
      <w:r>
        <w:t>nodes</w:t>
      </w:r>
      <w:proofErr w:type="spellEnd"/>
      <w:r>
        <w:t>.</w:t>
      </w:r>
    </w:p>
    <w:p w14:paraId="40E8C96F" w14:textId="6110ECFA" w:rsidR="00F95034" w:rsidRDefault="00F95034" w:rsidP="00F95034">
      <w:pPr>
        <w:pStyle w:val="Lijstalinea"/>
        <w:numPr>
          <w:ilvl w:val="0"/>
          <w:numId w:val="5"/>
        </w:numPr>
        <w:spacing w:before="40" w:after="40"/>
        <w:ind w:left="850" w:hanging="357"/>
        <w:jc w:val="both"/>
      </w:pPr>
      <w:r>
        <w:t xml:space="preserve">Elk bestand wordt gestreamd door een </w:t>
      </w:r>
      <w:proofErr w:type="spellStart"/>
      <w:r>
        <w:t>tokenizer</w:t>
      </w:r>
      <w:proofErr w:type="spellEnd"/>
      <w:r>
        <w:t xml:space="preserve"> die </w:t>
      </w:r>
      <w:proofErr w:type="spellStart"/>
      <w:r>
        <w:t>identifiers</w:t>
      </w:r>
      <w:proofErr w:type="spellEnd"/>
      <w:r>
        <w:t xml:space="preserve"> vervangt door </w:t>
      </w:r>
      <w:proofErr w:type="spellStart"/>
      <w:r>
        <w:t>bvb</w:t>
      </w:r>
      <w:proofErr w:type="spellEnd"/>
      <w:r>
        <w:t xml:space="preserve">. `$` en </w:t>
      </w:r>
      <w:proofErr w:type="spellStart"/>
      <w:r>
        <w:t>whitespace</w:t>
      </w:r>
      <w:proofErr w:type="spellEnd"/>
      <w:r>
        <w:t xml:space="preserve"> negeert. N-shingles worden vervolgens opgesteld en </w:t>
      </w:r>
      <w:proofErr w:type="spellStart"/>
      <w:r>
        <w:t>gehasht</w:t>
      </w:r>
      <w:proofErr w:type="spellEnd"/>
      <w:r>
        <w:t xml:space="preserve"> naar een </w:t>
      </w:r>
      <w:proofErr w:type="spellStart"/>
      <w:r>
        <w:t>bitvector</w:t>
      </w:r>
      <w:proofErr w:type="spellEnd"/>
      <w:r>
        <w:t xml:space="preserve">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proofErr w:type="spellStart"/>
      <w:r>
        <w:t>Minhashing</w:t>
      </w:r>
      <w:proofErr w:type="spellEnd"/>
      <w:r>
        <w:t xml:space="preserve"> wordt toegepast en de </w:t>
      </w:r>
      <w:proofErr w:type="spellStart"/>
      <w:r>
        <w:t>Signature</w:t>
      </w:r>
      <w:proofErr w:type="spellEnd"/>
      <w:r>
        <w:t xml:space="preserve"> Matrix wordt opgesteld afhankelijk van een aantal pseudo-random gekozen </w:t>
      </w:r>
      <w:proofErr w:type="spellStart"/>
      <w:r>
        <w:t>hashfunctie</w:t>
      </w:r>
      <w:proofErr w:type="spellEnd"/>
      <w:r>
        <w:t>,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 xml:space="preserve">In de volgende stap worden de </w:t>
      </w:r>
      <w:proofErr w:type="spellStart"/>
      <w:r>
        <w:t>Signature</w:t>
      </w:r>
      <w:proofErr w:type="spellEnd"/>
      <w:r>
        <w:t xml:space="preserve"> Matrices “samengevoegd” om voor elk bestand enkele banden uit de </w:t>
      </w:r>
      <w:proofErr w:type="spellStart"/>
      <w:r>
        <w:t>bitvector</w:t>
      </w:r>
      <w:proofErr w:type="spellEnd"/>
      <w:r>
        <w:t xml:space="preserve">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 xml:space="preserve">In deze banden worden mogelijke </w:t>
      </w:r>
      <w:proofErr w:type="spellStart"/>
      <w:r>
        <w:t>kandidaatparen</w:t>
      </w:r>
      <w:proofErr w:type="spellEnd"/>
      <w:r>
        <w:t xml:space="preserve"> beschouwd en de gelijkenis berekend. Paren waarvoor de kans op gelijk zijn boven een bepaalde grens ligt, worden naar eenzelfde bucket </w:t>
      </w:r>
      <w:proofErr w:type="spellStart"/>
      <w:r>
        <w:t>gehasht</w:t>
      </w:r>
      <w:proofErr w:type="spellEnd"/>
      <w:r>
        <w:t xml:space="preserve"> (</w:t>
      </w:r>
      <w:proofErr w:type="spellStart"/>
      <w:r w:rsidRPr="00F95034">
        <w:t>Locality</w:t>
      </w:r>
      <w:proofErr w:type="spellEnd"/>
      <w:r w:rsidRPr="00F95034">
        <w:t xml:space="preserve"> </w:t>
      </w:r>
      <w:proofErr w:type="spellStart"/>
      <w:r w:rsidRPr="00F95034">
        <w:t>Sensitive</w:t>
      </w:r>
      <w:proofErr w:type="spellEnd"/>
      <w:r w:rsidRPr="00F95034">
        <w:t xml:space="preserve"> </w:t>
      </w:r>
      <w:proofErr w:type="spellStart"/>
      <w:r w:rsidRPr="00F95034">
        <w:t>Hashing</w:t>
      </w:r>
      <w:proofErr w:type="spellEnd"/>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4035B07A" w14:textId="2FADD1EF" w:rsidR="00D25011" w:rsidRPr="00D25011" w:rsidRDefault="00D25011" w:rsidP="00D25011">
      <w:pPr>
        <w:spacing w:before="40" w:after="40"/>
        <w:ind w:left="493"/>
        <w:jc w:val="both"/>
      </w:pPr>
      <w:r w:rsidRPr="00D25011">
        <w:t xml:space="preserve">In stap 1-3 worden </w:t>
      </w:r>
      <w:r w:rsidRPr="00D25011">
        <w:rPr>
          <w:i/>
          <w:iCs/>
        </w:rPr>
        <w:t xml:space="preserve">(file, </w:t>
      </w:r>
      <w:proofErr w:type="spellStart"/>
      <w:r w:rsidRPr="00D25011">
        <w:rPr>
          <w:i/>
          <w:iCs/>
        </w:rPr>
        <w:t>Signature</w:t>
      </w:r>
      <w:proofErr w:type="spellEnd"/>
      <w:r w:rsidRPr="00D25011">
        <w:rPr>
          <w:i/>
          <w:iCs/>
        </w:rPr>
        <w:t xml:space="preserve"> Matrix)</w:t>
      </w:r>
      <w:r w:rsidRPr="00D25011">
        <w:t>-</w:t>
      </w:r>
      <w:r>
        <w:t>paren</w:t>
      </w:r>
      <w:r w:rsidRPr="00D25011">
        <w:t xml:space="preserve"> aangemaakt in de</w:t>
      </w:r>
      <w:r>
        <w:t xml:space="preserve"> </w:t>
      </w:r>
      <w:proofErr w:type="spellStart"/>
      <w:r>
        <w:t>mapping</w:t>
      </w:r>
      <w:proofErr w:type="spellEnd"/>
      <w:r>
        <w:t xml:space="preserve">. Stap 4 maakt hiervan nieuwe </w:t>
      </w:r>
      <w:r w:rsidRPr="00D25011">
        <w:rPr>
          <w:i/>
          <w:iCs/>
        </w:rPr>
        <w:t xml:space="preserve">(band, file </w:t>
      </w:r>
      <w:proofErr w:type="spellStart"/>
      <w:r w:rsidRPr="00D25011">
        <w:rPr>
          <w:i/>
          <w:iCs/>
        </w:rPr>
        <w:t>Signature</w:t>
      </w:r>
      <w:proofErr w:type="spellEnd"/>
      <w:r w:rsidRPr="00D25011">
        <w:rPr>
          <w:i/>
          <w:iCs/>
        </w:rPr>
        <w:t xml:space="preserv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p>
    <w:sectPr w:rsidR="00D25011" w:rsidRPr="00D25011"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AC85" w14:textId="77777777" w:rsidR="00033EDF" w:rsidRDefault="00033EDF" w:rsidP="00033EDF">
      <w:pPr>
        <w:spacing w:after="0" w:line="240" w:lineRule="auto"/>
      </w:pPr>
      <w:r>
        <w:separator/>
      </w:r>
    </w:p>
  </w:endnote>
  <w:endnote w:type="continuationSeparator" w:id="0">
    <w:p w14:paraId="1AFFE612" w14:textId="77777777" w:rsidR="00033EDF" w:rsidRDefault="00033EDF"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BB61E" w14:textId="77777777" w:rsidR="00033EDF" w:rsidRDefault="00033EDF" w:rsidP="00033EDF">
      <w:pPr>
        <w:spacing w:after="0" w:line="240" w:lineRule="auto"/>
      </w:pPr>
      <w:r>
        <w:separator/>
      </w:r>
    </w:p>
  </w:footnote>
  <w:footnote w:type="continuationSeparator" w:id="0">
    <w:p w14:paraId="6557F2D2" w14:textId="77777777" w:rsidR="00033EDF" w:rsidRDefault="00033EDF"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56E7118C" w:rsidR="00033EDF" w:rsidRDefault="00033EDF">
    <w:pPr>
      <w:pStyle w:val="Koptekst"/>
      <w:rPr>
        <w:lang w:val="en-GB"/>
      </w:rPr>
    </w:pPr>
    <w:r>
      <w:rPr>
        <w:lang w:val="en-GB"/>
      </w:rPr>
      <w:t>Big Data Analysis</w:t>
    </w:r>
    <w:r>
      <w:rPr>
        <w:lang w:val="en-GB"/>
      </w:rPr>
      <w:tab/>
    </w:r>
    <w:r>
      <w:rPr>
        <w:lang w:val="en-GB"/>
      </w:rPr>
      <w:tab/>
      <w:t xml:space="preserve">Cedric </w:t>
    </w:r>
    <w:proofErr w:type="spellStart"/>
    <w:r>
      <w:rPr>
        <w:lang w:val="en-GB"/>
      </w:rPr>
      <w:t>Mingneau</w:t>
    </w:r>
    <w:proofErr w:type="spellEnd"/>
    <w:r w:rsidR="008601BE">
      <w:rPr>
        <w:lang w:val="en-GB"/>
      </w:rPr>
      <w:t xml:space="preserve"> ()</w:t>
    </w:r>
  </w:p>
  <w:p w14:paraId="5BC5C251" w14:textId="09CB68B3" w:rsidR="00033EDF" w:rsidRDefault="00AE0C7D">
    <w:pPr>
      <w:pStyle w:val="Koptekst"/>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0E1E810D" w:rsidR="00033EDF" w:rsidRPr="00033EDF" w:rsidRDefault="00033EDF">
    <w:pPr>
      <w:pStyle w:val="Koptekst"/>
      <w:rPr>
        <w:lang w:val="en-GB"/>
      </w:rPr>
    </w:pPr>
    <w:r>
      <w:rPr>
        <w:lang w:val="en-GB"/>
      </w:rPr>
      <w:tab/>
    </w:r>
    <w:r>
      <w:rPr>
        <w:lang w:val="en-GB"/>
      </w:rPr>
      <w:tab/>
      <w:t>2019-10-22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33EDF"/>
    <w:rsid w:val="000C7FDC"/>
    <w:rsid w:val="00171936"/>
    <w:rsid w:val="00270C0E"/>
    <w:rsid w:val="00272A73"/>
    <w:rsid w:val="00272CAA"/>
    <w:rsid w:val="003278DD"/>
    <w:rsid w:val="00343D5A"/>
    <w:rsid w:val="00356DBB"/>
    <w:rsid w:val="00386571"/>
    <w:rsid w:val="003D73B0"/>
    <w:rsid w:val="0040694F"/>
    <w:rsid w:val="00442942"/>
    <w:rsid w:val="004B5940"/>
    <w:rsid w:val="00582E1C"/>
    <w:rsid w:val="00606D49"/>
    <w:rsid w:val="00670BAD"/>
    <w:rsid w:val="00763CAA"/>
    <w:rsid w:val="007A6213"/>
    <w:rsid w:val="008601BE"/>
    <w:rsid w:val="00883E59"/>
    <w:rsid w:val="00897DD9"/>
    <w:rsid w:val="009240E1"/>
    <w:rsid w:val="00AE0C7D"/>
    <w:rsid w:val="00C34E95"/>
    <w:rsid w:val="00C71D03"/>
    <w:rsid w:val="00CD45D3"/>
    <w:rsid w:val="00D25011"/>
    <w:rsid w:val="00DA2300"/>
    <w:rsid w:val="00EE532D"/>
    <w:rsid w:val="00F07B7E"/>
    <w:rsid w:val="00F95034"/>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77B7D4-D81F-4E50-9E87-E5D7427C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Pages>
  <Words>762</Words>
  <Characters>4191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31</cp:revision>
  <dcterms:created xsi:type="dcterms:W3CDTF">2019-10-21T12:40:00Z</dcterms:created>
  <dcterms:modified xsi:type="dcterms:W3CDTF">2019-10-21T22:56:00Z</dcterms:modified>
</cp:coreProperties>
</file>