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5C99"/>
          <w:sz w:val="36"/>
          <w:szCs w:val="36"/>
        </w:rPr>
        <w:t xml:space="preserve">Architecture du systeme d'information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PixelWave Studio — Livrable 1</w:t>
      </w:r>
    </w:p>
    <w:p>
      <w:pPr>
        <w:spacing w:after="120"/>
      </w:pPr>
      <w:r>
        <w:t xml:space="preserve">Le schema ci-dessous represente l'architecture du systeme d'information du projet fil rouge PixelWave Studio : les acteurs (collaborateurs, joueurs, partenaires), les composants applicatifs, les zones de securite (LAN interne, DMZ, Internet) et les interactions entre eux.</w:t>
      </w:r>
    </w:p>
    <w:p>
      <w:pPr>
        <w:spacing w:after="200"/>
        <w:jc w:val="center"/>
      </w:pPr>
      <w:r>
        <w:drawing>
          <wp:inline distT="0" distB="0" distL="0" distR="0">
            <wp:extent cx="59055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Figure 1 — Architecture du systeme d'information de PixelWave Studio</w:t>
      </w:r>
    </w:p>
    <w:p>
      <w:pPr>
        <w:pStyle w:val="Heading1"/>
        <w:spacing w:after="150" w:before="300"/>
      </w:pPr>
      <w:r>
        <w:rPr>
          <w:b/>
          <w:bCs/>
          <w:color w:val="1F5C99"/>
          <w:sz w:val="30"/>
          <w:szCs w:val="30"/>
        </w:rPr>
        <w:t xml:space="preserve">Composants et interactions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pare-feu ASA est le point de passage unique entre Internet, le LAN interne et la DMZ.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DMZ (site vitrine, portail joueurs) est totalement isolee du LAN interne : aucun flux direct entre les serveurs internes (annuaire, fichiers, tickets...) et les services exposes sur Internet. Cette isolation est appliquee au niveau du pare-feu (interface dmz configuree sans transfert vers l'interface inside).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collaborateurs nomades accedent au reseau interne via un tunnel VPN qui se termine directement sur le pare-feu.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joueurs et les plateformes externes (Steam, Discord) n'atteignent que la DMZ, jamais le LAN interne.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services internes (VLAN serveurs) regroupent l'annuaire AD/LDAP, le DNS/DHCP, la gestion de tickets (GLPI), le serveur de fichiers, la supervision et la sauvegarde.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Ce schema complete le schema reseau (livrable 2), qui detaille l'implementation physique : VLAN, adressage IP et equipements.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5382ca2574ce0cd35579ecd736002d633127d0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2026-10-15T08:09:25.600Z</dcterms:created>
  <dcterms:modified xsi:type="dcterms:W3CDTF">2026-10-15T08:09:25.617Z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