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316C" w14:textId="41FA3940" w:rsidR="00024ECA" w:rsidRPr="00350EE9" w:rsidRDefault="00000000">
      <w:pPr>
        <w:pStyle w:val="Title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 xml:space="preserve">Nanopore Rapid DNA Library Prep (SQK-RAD114) – </w:t>
      </w:r>
      <w:r w:rsidR="00350EE9" w:rsidRPr="00350EE9">
        <w:rPr>
          <w:rFonts w:ascii="Aptos" w:hAnsi="Aptos"/>
          <w:color w:val="000000" w:themeColor="text1"/>
        </w:rPr>
        <w:t>MS-CB ANGSD 2025</w:t>
      </w:r>
    </w:p>
    <w:p w14:paraId="66AE9D4A" w14:textId="0A4FEEA4" w:rsidR="00381EE0" w:rsidRPr="00350EE9" w:rsidRDefault="00381EE0" w:rsidP="00381EE0">
      <w:pPr>
        <w:rPr>
          <w:rFonts w:ascii="Aptos" w:hAnsi="Aptos"/>
          <w:color w:val="000000" w:themeColor="text1"/>
          <w:sz w:val="16"/>
          <w:szCs w:val="16"/>
        </w:rPr>
      </w:pPr>
      <w:r w:rsidRPr="00350EE9">
        <w:rPr>
          <w:rFonts w:ascii="Aptos" w:hAnsi="Aptos"/>
          <w:color w:val="000000" w:themeColor="text1"/>
          <w:sz w:val="16"/>
          <w:szCs w:val="16"/>
        </w:rPr>
        <w:t>Prepared by Theodore M. Nelson</w:t>
      </w:r>
    </w:p>
    <w:p w14:paraId="3D7AA1C6" w14:textId="36313015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Name: _______________________                         CWID: _______________________</w:t>
      </w:r>
    </w:p>
    <w:p w14:paraId="249D02D8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Introduction</w:t>
      </w:r>
    </w:p>
    <w:p w14:paraId="3682F11C" w14:textId="13E0B662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In today’s lab, you will prepare a DNA sequencing library from wastewater DNA</w:t>
      </w:r>
      <w:r w:rsidR="00381EE0" w:rsidRPr="00350EE9">
        <w:rPr>
          <w:rFonts w:ascii="Aptos" w:hAnsi="Aptos"/>
          <w:color w:val="000000" w:themeColor="text1"/>
        </w:rPr>
        <w:t xml:space="preserve">, </w:t>
      </w:r>
      <w:r w:rsidR="00381EE0" w:rsidRPr="00350EE9">
        <w:rPr>
          <w:rFonts w:ascii="Aptos" w:hAnsi="Aptos"/>
          <w:color w:val="000000" w:themeColor="text1"/>
        </w:rPr>
        <w:t>generated in collaboration with GRAVL, Inc, 55 Court Street, 2nd floor, Boston, MA 02108 and collected in Washington State</w:t>
      </w:r>
      <w:r w:rsidR="00350EE9">
        <w:rPr>
          <w:rFonts w:ascii="Aptos" w:hAnsi="Aptos"/>
          <w:color w:val="000000" w:themeColor="text1"/>
        </w:rPr>
        <w:t xml:space="preserve">. We will be </w:t>
      </w:r>
      <w:r w:rsidRPr="00350EE9">
        <w:rPr>
          <w:rFonts w:ascii="Aptos" w:hAnsi="Aptos"/>
          <w:color w:val="000000" w:themeColor="text1"/>
        </w:rPr>
        <w:t>using Oxford Nanopore’s Rapid Sequencing Kit V14 (SQK-RAD114). This kit is designed for rapid tagmentation and adapter ligation with minimal equipment. This protocol is PCR-free and does not require third-party ligase.</w:t>
      </w:r>
    </w:p>
    <w:p w14:paraId="58689470" w14:textId="0D12A214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Sample Metadata Table</w:t>
      </w:r>
      <w:r w:rsidR="00C24E12" w:rsidRPr="00350EE9">
        <w:rPr>
          <w:rFonts w:ascii="Aptos" w:hAnsi="Aptos"/>
          <w:color w:val="000000" w:themeColor="text1"/>
        </w:rPr>
        <w:t xml:space="preserve"> [Submitted]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350EE9" w:rsidRPr="00350EE9" w14:paraId="09D5C5A6" w14:textId="77777777">
        <w:tc>
          <w:tcPr>
            <w:tcW w:w="1234" w:type="dxa"/>
          </w:tcPr>
          <w:p w14:paraId="3F1381A7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#</w:t>
            </w:r>
          </w:p>
        </w:tc>
        <w:tc>
          <w:tcPr>
            <w:tcW w:w="1234" w:type="dxa"/>
          </w:tcPr>
          <w:p w14:paraId="6A61ABE6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Sample ID</w:t>
            </w:r>
          </w:p>
        </w:tc>
        <w:tc>
          <w:tcPr>
            <w:tcW w:w="1234" w:type="dxa"/>
          </w:tcPr>
          <w:p w14:paraId="400C744A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260/280</w:t>
            </w:r>
          </w:p>
        </w:tc>
        <w:tc>
          <w:tcPr>
            <w:tcW w:w="1234" w:type="dxa"/>
          </w:tcPr>
          <w:p w14:paraId="38D61DA4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Conc. (ng/µL)</w:t>
            </w:r>
          </w:p>
        </w:tc>
        <w:tc>
          <w:tcPr>
            <w:tcW w:w="1234" w:type="dxa"/>
          </w:tcPr>
          <w:p w14:paraId="093BDF7E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Volume for 100 ng</w:t>
            </w:r>
          </w:p>
        </w:tc>
        <w:tc>
          <w:tcPr>
            <w:tcW w:w="1234" w:type="dxa"/>
          </w:tcPr>
          <w:p w14:paraId="58F9A01E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Storage</w:t>
            </w:r>
          </w:p>
        </w:tc>
        <w:tc>
          <w:tcPr>
            <w:tcW w:w="1234" w:type="dxa"/>
          </w:tcPr>
          <w:p w14:paraId="7B807357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Notes</w:t>
            </w:r>
          </w:p>
        </w:tc>
      </w:tr>
      <w:tr w:rsidR="00350EE9" w:rsidRPr="00350EE9" w14:paraId="0096FEBC" w14:textId="77777777">
        <w:tc>
          <w:tcPr>
            <w:tcW w:w="1234" w:type="dxa"/>
          </w:tcPr>
          <w:p w14:paraId="690C1A23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1</w:t>
            </w:r>
          </w:p>
        </w:tc>
        <w:tc>
          <w:tcPr>
            <w:tcW w:w="1234" w:type="dxa"/>
          </w:tcPr>
          <w:p w14:paraId="1053B0B2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WWTP_A</w:t>
            </w:r>
          </w:p>
        </w:tc>
        <w:tc>
          <w:tcPr>
            <w:tcW w:w="1234" w:type="dxa"/>
          </w:tcPr>
          <w:p w14:paraId="75AE596E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3CA9B6B7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55D35795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 µL</w:t>
            </w:r>
          </w:p>
        </w:tc>
        <w:tc>
          <w:tcPr>
            <w:tcW w:w="1234" w:type="dxa"/>
          </w:tcPr>
          <w:p w14:paraId="27D3C573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-20°C</w:t>
            </w:r>
          </w:p>
        </w:tc>
        <w:tc>
          <w:tcPr>
            <w:tcW w:w="1234" w:type="dxa"/>
          </w:tcPr>
          <w:p w14:paraId="024A89D9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</w:tr>
      <w:tr w:rsidR="00350EE9" w:rsidRPr="00350EE9" w14:paraId="593A7AAF" w14:textId="77777777">
        <w:tc>
          <w:tcPr>
            <w:tcW w:w="1234" w:type="dxa"/>
          </w:tcPr>
          <w:p w14:paraId="3BB72EEB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2</w:t>
            </w:r>
          </w:p>
        </w:tc>
        <w:tc>
          <w:tcPr>
            <w:tcW w:w="1234" w:type="dxa"/>
          </w:tcPr>
          <w:p w14:paraId="7D8FB5D1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WWTP_B</w:t>
            </w:r>
          </w:p>
        </w:tc>
        <w:tc>
          <w:tcPr>
            <w:tcW w:w="1234" w:type="dxa"/>
          </w:tcPr>
          <w:p w14:paraId="0D3F18D3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48A820E8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75033E58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 µL</w:t>
            </w:r>
          </w:p>
        </w:tc>
        <w:tc>
          <w:tcPr>
            <w:tcW w:w="1234" w:type="dxa"/>
          </w:tcPr>
          <w:p w14:paraId="187B9C8C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-20°C</w:t>
            </w:r>
          </w:p>
        </w:tc>
        <w:tc>
          <w:tcPr>
            <w:tcW w:w="1234" w:type="dxa"/>
          </w:tcPr>
          <w:p w14:paraId="593173F6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</w:tr>
      <w:tr w:rsidR="00350EE9" w:rsidRPr="00350EE9" w14:paraId="38AFAB42" w14:textId="77777777">
        <w:tc>
          <w:tcPr>
            <w:tcW w:w="1234" w:type="dxa"/>
          </w:tcPr>
          <w:p w14:paraId="33816F01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3</w:t>
            </w:r>
          </w:p>
        </w:tc>
        <w:tc>
          <w:tcPr>
            <w:tcW w:w="1234" w:type="dxa"/>
          </w:tcPr>
          <w:p w14:paraId="078C54A1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WWTP_C</w:t>
            </w:r>
          </w:p>
        </w:tc>
        <w:tc>
          <w:tcPr>
            <w:tcW w:w="1234" w:type="dxa"/>
          </w:tcPr>
          <w:p w14:paraId="2D97611B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237520A0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  <w:tc>
          <w:tcPr>
            <w:tcW w:w="1234" w:type="dxa"/>
          </w:tcPr>
          <w:p w14:paraId="5F716F77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 µL</w:t>
            </w:r>
          </w:p>
        </w:tc>
        <w:tc>
          <w:tcPr>
            <w:tcW w:w="1234" w:type="dxa"/>
          </w:tcPr>
          <w:p w14:paraId="1DCE242A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-20°C</w:t>
            </w:r>
          </w:p>
        </w:tc>
        <w:tc>
          <w:tcPr>
            <w:tcW w:w="1234" w:type="dxa"/>
          </w:tcPr>
          <w:p w14:paraId="084E235F" w14:textId="77777777" w:rsidR="00024ECA" w:rsidRPr="00350EE9" w:rsidRDefault="00000000">
            <w:pPr>
              <w:rPr>
                <w:rFonts w:ascii="Aptos" w:hAnsi="Aptos"/>
                <w:color w:val="000000" w:themeColor="text1"/>
              </w:rPr>
            </w:pPr>
            <w:r w:rsidRPr="00350EE9">
              <w:rPr>
                <w:rFonts w:ascii="Aptos" w:hAnsi="Aptos"/>
                <w:color w:val="000000" w:themeColor="text1"/>
              </w:rPr>
              <w:t>___</w:t>
            </w:r>
          </w:p>
        </w:tc>
      </w:tr>
    </w:tbl>
    <w:p w14:paraId="6D8B485F" w14:textId="523B4717" w:rsidR="00350EE9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 xml:space="preserve">Q1: </w:t>
      </w:r>
      <w:r w:rsidR="00381EE0" w:rsidRPr="00350EE9">
        <w:rPr>
          <w:rFonts w:ascii="Aptos" w:hAnsi="Aptos"/>
          <w:color w:val="000000" w:themeColor="text1"/>
        </w:rPr>
        <w:t>What d</w:t>
      </w:r>
      <w:r w:rsidR="00350EE9" w:rsidRPr="00350EE9">
        <w:rPr>
          <w:rFonts w:ascii="Aptos" w:hAnsi="Aptos"/>
          <w:color w:val="000000" w:themeColor="text1"/>
        </w:rPr>
        <w:t xml:space="preserve">oes </w:t>
      </w:r>
      <w:r w:rsidR="00350EE9">
        <w:rPr>
          <w:rFonts w:ascii="Aptos" w:hAnsi="Aptos"/>
          <w:color w:val="000000" w:themeColor="text1"/>
        </w:rPr>
        <w:t xml:space="preserve">each wavelength within </w:t>
      </w:r>
      <w:r w:rsidR="00350EE9" w:rsidRPr="00350EE9">
        <w:rPr>
          <w:rFonts w:ascii="Aptos" w:hAnsi="Aptos"/>
          <w:color w:val="000000" w:themeColor="text1"/>
        </w:rPr>
        <w:t>the 260 / 280 measure</w:t>
      </w:r>
      <w:r w:rsidRPr="00350EE9">
        <w:rPr>
          <w:rFonts w:ascii="Aptos" w:hAnsi="Aptos"/>
          <w:color w:val="000000" w:themeColor="text1"/>
        </w:rPr>
        <w:t>?</w:t>
      </w:r>
    </w:p>
    <w:p w14:paraId="2CC22B9C" w14:textId="6E54B7EE" w:rsidR="00350EE9" w:rsidRDefault="00350EE9" w:rsidP="00350EE9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 xml:space="preserve">Sample </w:t>
      </w:r>
      <w:r w:rsidRPr="00350EE9">
        <w:rPr>
          <w:rFonts w:ascii="Aptos" w:hAnsi="Aptos"/>
          <w:color w:val="000000" w:themeColor="text1"/>
        </w:rPr>
        <w:t>Quality Control</w:t>
      </w:r>
      <w:r w:rsidRPr="00350EE9">
        <w:rPr>
          <w:rFonts w:ascii="Aptos" w:hAnsi="Aptos"/>
          <w:color w:val="000000" w:themeColor="text1"/>
        </w:rPr>
        <w:t xml:space="preserve"> </w:t>
      </w:r>
    </w:p>
    <w:p w14:paraId="653958B3" w14:textId="5284274D" w:rsidR="00350EE9" w:rsidRDefault="00350EE9" w:rsidP="00350EE9">
      <w:r>
        <w:t xml:space="preserve">Before loading a Nanopore flow cell, we perform our own quality control analysis. </w:t>
      </w:r>
      <w:r>
        <w:t>Below is an example trace from a Fragment Analyzer run of Sample 626157-6. This chart provides a detailed profile of DNA fragment sizes and relative concentrations across the sample.</w:t>
      </w:r>
    </w:p>
    <w:p w14:paraId="3CBB8991" w14:textId="15642484" w:rsidR="00350EE9" w:rsidRDefault="00350EE9" w:rsidP="00350EE9">
      <w:r>
        <w:t xml:space="preserve">This type of analysis is critical before performing long-read Nanopore sequencing. The trace shows </w:t>
      </w:r>
      <w:r w:rsidR="00A77B19">
        <w:t>many</w:t>
      </w:r>
      <w:r>
        <w:t xml:space="preserve"> short fragments (~100–600 bp), which make up over 40% of the sample according to the smear analysis. These short fragments present two major challenges for Nanopore sequencing:</w:t>
      </w:r>
    </w:p>
    <w:p w14:paraId="7B887348" w14:textId="1B017E13" w:rsidR="00350EE9" w:rsidRPr="00350EE9" w:rsidRDefault="00350EE9" w:rsidP="00350EE9">
      <w:pPr>
        <w:pStyle w:val="ListBullet"/>
        <w:numPr>
          <w:ilvl w:val="0"/>
          <w:numId w:val="0"/>
        </w:numPr>
        <w:ind w:left="360"/>
      </w:pPr>
      <w:r>
        <w:t xml:space="preserve">1. </w:t>
      </w:r>
      <w:r w:rsidRPr="00350EE9">
        <w:rPr>
          <w:b/>
          <w:bCs/>
        </w:rPr>
        <w:t>Size-exclusion bias</w:t>
      </w:r>
      <w:r>
        <w:t>: Nanopore sequencing preferentially loads shorter fragments if they are present in high abundance, which can reduce sequencing efficiency and read length distribution.</w:t>
      </w:r>
      <w:r>
        <w:br/>
        <w:t xml:space="preserve">2. </w:t>
      </w:r>
      <w:r w:rsidRPr="00350EE9">
        <w:rPr>
          <w:b/>
          <w:bCs/>
        </w:rPr>
        <w:t>Input concentration risk</w:t>
      </w:r>
      <w:r>
        <w:t xml:space="preserve">: While SPRI bead-based size selection could reduce short </w:t>
      </w:r>
      <w:r>
        <w:lastRenderedPageBreak/>
        <w:t>fragments, it may result in a significant loss of total DNA, which could leave some samples below the input requirement for sequencing.</w:t>
      </w:r>
    </w:p>
    <w:p w14:paraId="412A714B" w14:textId="5D3985B0" w:rsidR="00350EE9" w:rsidRPr="00350EE9" w:rsidRDefault="00350EE9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noProof/>
          <w:color w:val="000000" w:themeColor="text1"/>
        </w:rPr>
        <w:drawing>
          <wp:inline distT="0" distB="0" distL="0" distR="0" wp14:anchorId="0DBC8C17" wp14:editId="6B250FE9">
            <wp:extent cx="5486400" cy="5320030"/>
            <wp:effectExtent l="0" t="0" r="0" b="1270"/>
            <wp:docPr id="413753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30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064A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Library Preparation Protocol (SQK-RAD114)</w:t>
      </w:r>
    </w:p>
    <w:p w14:paraId="66960219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1. Prepare Input DNA:</w:t>
      </w:r>
    </w:p>
    <w:p w14:paraId="23DB6249" w14:textId="77777777" w:rsidR="00024ECA" w:rsidRPr="00350EE9" w:rsidRDefault="00000000" w:rsidP="00381EE0">
      <w:pPr>
        <w:pStyle w:val="ListBullet"/>
        <w:numPr>
          <w:ilvl w:val="0"/>
          <w:numId w:val="0"/>
        </w:numPr>
        <w:ind w:left="360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- Transfer 100–150 ng of genomic DNA into a 1.5 ml DNA LoBind tube.</w:t>
      </w:r>
      <w:r w:rsidRPr="00350EE9">
        <w:rPr>
          <w:rFonts w:ascii="Aptos" w:hAnsi="Aptos"/>
          <w:color w:val="000000" w:themeColor="text1"/>
        </w:rPr>
        <w:br/>
        <w:t>- Adjust to 10 µl with nuclease-free water.</w:t>
      </w:r>
      <w:r w:rsidRPr="00350EE9">
        <w:rPr>
          <w:rFonts w:ascii="Aptos" w:hAnsi="Aptos"/>
          <w:color w:val="000000" w:themeColor="text1"/>
        </w:rPr>
        <w:br/>
        <w:t>- Mix by flicking and spin down.</w:t>
      </w:r>
    </w:p>
    <w:p w14:paraId="32563EE5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2. Tagmentation:</w:t>
      </w:r>
    </w:p>
    <w:p w14:paraId="31B7AFC2" w14:textId="77777777" w:rsidR="00024ECA" w:rsidRPr="00350EE9" w:rsidRDefault="00000000" w:rsidP="00381EE0">
      <w:pPr>
        <w:pStyle w:val="ListBullet"/>
        <w:numPr>
          <w:ilvl w:val="0"/>
          <w:numId w:val="0"/>
        </w:numPr>
        <w:ind w:left="360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lastRenderedPageBreak/>
        <w:t>- Add 10 µl DNA + 1 µl Fragmentation Mix (FRA) → Total: 11 µl.</w:t>
      </w:r>
      <w:r w:rsidRPr="00350EE9">
        <w:rPr>
          <w:rFonts w:ascii="Aptos" w:hAnsi="Aptos"/>
          <w:color w:val="000000" w:themeColor="text1"/>
        </w:rPr>
        <w:br/>
        <w:t>- Incubate: 30°C for 2 min, then 80°C for 2 min.</w:t>
      </w:r>
      <w:r w:rsidRPr="00350EE9">
        <w:rPr>
          <w:rFonts w:ascii="Aptos" w:hAnsi="Aptos"/>
          <w:color w:val="000000" w:themeColor="text1"/>
        </w:rPr>
        <w:br/>
        <w:t>- Cool on ice.</w:t>
      </w:r>
    </w:p>
    <w:p w14:paraId="6EDE73C6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3. Adapter Ligation:</w:t>
      </w:r>
    </w:p>
    <w:p w14:paraId="670C6C03" w14:textId="77777777" w:rsidR="00024ECA" w:rsidRPr="00350EE9" w:rsidRDefault="00000000" w:rsidP="00381EE0">
      <w:pPr>
        <w:pStyle w:val="ListBullet"/>
        <w:numPr>
          <w:ilvl w:val="0"/>
          <w:numId w:val="0"/>
        </w:numPr>
        <w:ind w:left="360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- Mix 1.5 µl RA + 3.5 µl ADB to prepare RA mix.</w:t>
      </w:r>
      <w:r w:rsidRPr="00350EE9">
        <w:rPr>
          <w:rFonts w:ascii="Aptos" w:hAnsi="Aptos"/>
          <w:color w:val="000000" w:themeColor="text1"/>
        </w:rPr>
        <w:br/>
        <w:t>- Add 1 µl to the 11 µl tagmented DNA.</w:t>
      </w:r>
      <w:r w:rsidRPr="00350EE9">
        <w:rPr>
          <w:rFonts w:ascii="Aptos" w:hAnsi="Aptos"/>
          <w:color w:val="000000" w:themeColor="text1"/>
        </w:rPr>
        <w:br/>
        <w:t>- Incubate 5 min at room temperature.</w:t>
      </w:r>
      <w:r w:rsidRPr="00350EE9">
        <w:rPr>
          <w:rFonts w:ascii="Aptos" w:hAnsi="Aptos"/>
          <w:color w:val="000000" w:themeColor="text1"/>
        </w:rPr>
        <w:br/>
        <w:t>- Keep on ice.</w:t>
      </w:r>
    </w:p>
    <w:p w14:paraId="62989D4F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Q2: What is the purpose of the tagmentation step in the context of metagenomic samples from wastewater?</w:t>
      </w:r>
    </w:p>
    <w:p w14:paraId="13D7C0F6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Flow Cell Priming &amp; Loading (MinION/GridION)</w:t>
      </w:r>
    </w:p>
    <w:p w14:paraId="57124800" w14:textId="5F281D69" w:rsidR="00024ECA" w:rsidRPr="00350EE9" w:rsidRDefault="00000000" w:rsidP="00C24E12">
      <w:pPr>
        <w:pStyle w:val="ListBullet"/>
        <w:numPr>
          <w:ilvl w:val="0"/>
          <w:numId w:val="10"/>
        </w:num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Prepare Priming Mix (per flow cell):</w:t>
      </w:r>
      <w:r w:rsidRPr="00350EE9">
        <w:rPr>
          <w:rFonts w:ascii="Aptos" w:hAnsi="Aptos"/>
          <w:color w:val="000000" w:themeColor="text1"/>
        </w:rPr>
        <w:br/>
        <w:t>- 1,170 µl Flow Cell Flush (FCF)</w:t>
      </w:r>
      <w:r w:rsidRPr="00350EE9">
        <w:rPr>
          <w:rFonts w:ascii="Aptos" w:hAnsi="Aptos"/>
          <w:color w:val="000000" w:themeColor="text1"/>
        </w:rPr>
        <w:br/>
        <w:t>- 30 µl Flow Cell Tether (FCT)</w:t>
      </w:r>
      <w:r w:rsidRPr="00350EE9">
        <w:rPr>
          <w:rFonts w:ascii="Aptos" w:hAnsi="Aptos"/>
          <w:color w:val="000000" w:themeColor="text1"/>
        </w:rPr>
        <w:br/>
        <w:t>- 5 µl BSA (50 mg/ml)</w:t>
      </w:r>
    </w:p>
    <w:p w14:paraId="1BF34844" w14:textId="77777777" w:rsidR="00C24E12" w:rsidRPr="00350EE9" w:rsidRDefault="00C24E12" w:rsidP="00C24E12">
      <w:pPr>
        <w:pStyle w:val="ListBullet"/>
        <w:numPr>
          <w:ilvl w:val="0"/>
          <w:numId w:val="0"/>
        </w:numPr>
        <w:ind w:left="720"/>
        <w:rPr>
          <w:rFonts w:ascii="Aptos" w:hAnsi="Aptos"/>
          <w:color w:val="000000" w:themeColor="text1"/>
        </w:rPr>
      </w:pPr>
    </w:p>
    <w:p w14:paraId="73610F66" w14:textId="13379400" w:rsidR="00024ECA" w:rsidRPr="00350EE9" w:rsidRDefault="00000000" w:rsidP="00C24E12">
      <w:pPr>
        <w:pStyle w:val="ListBullet"/>
        <w:numPr>
          <w:ilvl w:val="0"/>
          <w:numId w:val="10"/>
        </w:num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Load 800 µl of the mix into the flow cell. Wait 5 minutes.</w:t>
      </w:r>
    </w:p>
    <w:p w14:paraId="432590FA" w14:textId="77777777" w:rsidR="00C24E12" w:rsidRPr="00350EE9" w:rsidRDefault="00C24E12" w:rsidP="00C24E12">
      <w:pPr>
        <w:pStyle w:val="ListBullet"/>
        <w:numPr>
          <w:ilvl w:val="0"/>
          <w:numId w:val="0"/>
        </w:numPr>
        <w:rPr>
          <w:rFonts w:ascii="Aptos" w:hAnsi="Aptos"/>
          <w:color w:val="000000" w:themeColor="text1"/>
        </w:rPr>
      </w:pPr>
    </w:p>
    <w:p w14:paraId="6D98AF5E" w14:textId="5F1BC8C8" w:rsidR="00024ECA" w:rsidRPr="00350EE9" w:rsidRDefault="00000000" w:rsidP="00C24E12">
      <w:pPr>
        <w:pStyle w:val="ListBullet"/>
        <w:numPr>
          <w:ilvl w:val="0"/>
          <w:numId w:val="10"/>
        </w:num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Prepare Loading Mix:</w:t>
      </w:r>
      <w:r w:rsidRPr="00350EE9">
        <w:rPr>
          <w:rFonts w:ascii="Aptos" w:hAnsi="Aptos"/>
          <w:color w:val="000000" w:themeColor="text1"/>
        </w:rPr>
        <w:br/>
        <w:t>- 37.5 µl Sequencing Buffer (SB)</w:t>
      </w:r>
      <w:r w:rsidRPr="00350EE9">
        <w:rPr>
          <w:rFonts w:ascii="Aptos" w:hAnsi="Aptos"/>
          <w:color w:val="000000" w:themeColor="text1"/>
        </w:rPr>
        <w:br/>
        <w:t>- 25.5 µl Library Beads (LIB)</w:t>
      </w:r>
      <w:r w:rsidRPr="00350EE9">
        <w:rPr>
          <w:rFonts w:ascii="Aptos" w:hAnsi="Aptos"/>
          <w:color w:val="000000" w:themeColor="text1"/>
        </w:rPr>
        <w:br/>
        <w:t>- 12 µl DNA library</w:t>
      </w:r>
      <w:r w:rsidRPr="00350EE9">
        <w:rPr>
          <w:rFonts w:ascii="Aptos" w:hAnsi="Aptos"/>
          <w:color w:val="000000" w:themeColor="text1"/>
        </w:rPr>
        <w:br/>
        <w:t>- Load 75 µl into the SpotON port dropwise.</w:t>
      </w:r>
    </w:p>
    <w:p w14:paraId="158C97F8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Q3: Why is it important to avoid air bubbles when loading a flow cell? What can go wrong?</w:t>
      </w:r>
    </w:p>
    <w:p w14:paraId="4DAED172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Sequencing Setup in MinKNOW</w:t>
      </w:r>
    </w:p>
    <w:p w14:paraId="46A5DFC6" w14:textId="77777777" w:rsidR="00024ECA" w:rsidRPr="00350EE9" w:rsidRDefault="00000000" w:rsidP="00C24E12">
      <w:pPr>
        <w:pStyle w:val="ListBullet"/>
        <w:numPr>
          <w:ilvl w:val="0"/>
          <w:numId w:val="0"/>
        </w:numPr>
        <w:ind w:left="360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1. Open MinKNOW and start a new experiment.</w:t>
      </w:r>
      <w:r w:rsidRPr="00350EE9">
        <w:rPr>
          <w:rFonts w:ascii="Aptos" w:hAnsi="Aptos"/>
          <w:color w:val="000000" w:themeColor="text1"/>
        </w:rPr>
        <w:br/>
        <w:t>2. Select SQK-RAD114 kit.</w:t>
      </w:r>
      <w:r w:rsidRPr="00350EE9">
        <w:rPr>
          <w:rFonts w:ascii="Aptos" w:hAnsi="Aptos"/>
          <w:color w:val="000000" w:themeColor="text1"/>
        </w:rPr>
        <w:br/>
        <w:t>3. Monitor in real-time.</w:t>
      </w:r>
      <w:r w:rsidRPr="00350EE9">
        <w:rPr>
          <w:rFonts w:ascii="Aptos" w:hAnsi="Aptos"/>
          <w:color w:val="000000" w:themeColor="text1"/>
        </w:rPr>
        <w:br/>
        <w:t>4. Use EPI2ME if desired.</w:t>
      </w:r>
    </w:p>
    <w:p w14:paraId="64869534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Q4: What types of organisms or genes might you expect to detect from wastewater sequencing? How might this support public health monitoring?</w:t>
      </w:r>
    </w:p>
    <w:p w14:paraId="1A16E9C6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Post-Run QC and Flow Cell Reuse</w:t>
      </w:r>
    </w:p>
    <w:p w14:paraId="7C130A65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Follow the Flow Cell Wash Kit protocol to reuse or return your flow cell.</w:t>
      </w:r>
    </w:p>
    <w:p w14:paraId="0182D11C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lastRenderedPageBreak/>
        <w:t>Q5: Why is it important to wash the flow cell shortly after use, and what could happen if it's delayed?</w:t>
      </w:r>
    </w:p>
    <w:p w14:paraId="129CE1C9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Critical Thinking Questions</w:t>
      </w:r>
    </w:p>
    <w:p w14:paraId="278EA1DB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1. What are some potential contaminants found in wastewater DNA samples that might interfere with sequencing?</w:t>
      </w:r>
    </w:p>
    <w:p w14:paraId="25E418A1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2. Describe a computational method you could use to filter host (human) DNA reads post-sequencing.</w:t>
      </w:r>
    </w:p>
    <w:p w14:paraId="3A918DF3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3. If your read N50 is &lt;500 bp, what might be the cause?</w:t>
      </w:r>
    </w:p>
    <w:p w14:paraId="7CFF80F9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4. What is the advantage of Nanopore's long-read sequencing for environmental DNA compared to short-read platforms?</w:t>
      </w:r>
    </w:p>
    <w:p w14:paraId="7103C2F2" w14:textId="77777777" w:rsidR="00024ECA" w:rsidRPr="00350EE9" w:rsidRDefault="00000000">
      <w:pPr>
        <w:pStyle w:val="Heading1"/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Additional Notes / Observations</w:t>
      </w:r>
    </w:p>
    <w:p w14:paraId="385AACBC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Record any changes to the protocol, observations during library prep, issues during flow cell loading, or anomalies in MinKNOW readout here:</w:t>
      </w:r>
    </w:p>
    <w:p w14:paraId="09A174A7" w14:textId="77777777" w:rsidR="00024ECA" w:rsidRPr="00350EE9" w:rsidRDefault="00000000">
      <w:pPr>
        <w:rPr>
          <w:rFonts w:ascii="Aptos" w:hAnsi="Aptos"/>
          <w:color w:val="000000" w:themeColor="text1"/>
        </w:rPr>
      </w:pPr>
      <w:r w:rsidRPr="00350EE9">
        <w:rPr>
          <w:rFonts w:ascii="Aptos" w:hAnsi="Aptos"/>
          <w:color w:val="000000" w:themeColor="text1"/>
        </w:rPr>
        <w:t>____________________________________________________________________</w:t>
      </w:r>
      <w:r w:rsidRPr="00350EE9">
        <w:rPr>
          <w:rFonts w:ascii="Aptos" w:hAnsi="Aptos"/>
          <w:color w:val="000000" w:themeColor="text1"/>
        </w:rPr>
        <w:br/>
        <w:t>____________________________________________________________________</w:t>
      </w:r>
      <w:r w:rsidRPr="00350EE9">
        <w:rPr>
          <w:rFonts w:ascii="Aptos" w:hAnsi="Aptos"/>
          <w:color w:val="000000" w:themeColor="text1"/>
        </w:rPr>
        <w:br/>
        <w:t>____________________________________________________________________</w:t>
      </w:r>
      <w:r w:rsidRPr="00350EE9">
        <w:rPr>
          <w:rFonts w:ascii="Aptos" w:hAnsi="Aptos"/>
          <w:color w:val="000000" w:themeColor="text1"/>
        </w:rPr>
        <w:br/>
        <w:t>____________________________________________________________________</w:t>
      </w:r>
      <w:r w:rsidRPr="00350EE9">
        <w:rPr>
          <w:rFonts w:ascii="Aptos" w:hAnsi="Aptos"/>
          <w:color w:val="000000" w:themeColor="text1"/>
        </w:rPr>
        <w:br/>
        <w:t>____________________________________________________________________</w:t>
      </w:r>
      <w:r w:rsidRPr="00350EE9">
        <w:rPr>
          <w:rFonts w:ascii="Aptos" w:hAnsi="Aptos"/>
          <w:color w:val="000000" w:themeColor="text1"/>
        </w:rPr>
        <w:br/>
      </w:r>
    </w:p>
    <w:sectPr w:rsidR="00024ECA" w:rsidRPr="00350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6E2553"/>
    <w:multiLevelType w:val="hybridMultilevel"/>
    <w:tmpl w:val="A14A2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839649">
    <w:abstractNumId w:val="8"/>
  </w:num>
  <w:num w:numId="2" w16cid:durableId="681707486">
    <w:abstractNumId w:val="6"/>
  </w:num>
  <w:num w:numId="3" w16cid:durableId="1534879577">
    <w:abstractNumId w:val="5"/>
  </w:num>
  <w:num w:numId="4" w16cid:durableId="1551066506">
    <w:abstractNumId w:val="4"/>
  </w:num>
  <w:num w:numId="5" w16cid:durableId="859582985">
    <w:abstractNumId w:val="7"/>
  </w:num>
  <w:num w:numId="6" w16cid:durableId="383718694">
    <w:abstractNumId w:val="3"/>
  </w:num>
  <w:num w:numId="7" w16cid:durableId="1302229561">
    <w:abstractNumId w:val="2"/>
  </w:num>
  <w:num w:numId="8" w16cid:durableId="228345728">
    <w:abstractNumId w:val="1"/>
  </w:num>
  <w:num w:numId="9" w16cid:durableId="1073352303">
    <w:abstractNumId w:val="0"/>
  </w:num>
  <w:num w:numId="10" w16cid:durableId="167211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ECA"/>
    <w:rsid w:val="00034616"/>
    <w:rsid w:val="0006063C"/>
    <w:rsid w:val="0015074B"/>
    <w:rsid w:val="0029639D"/>
    <w:rsid w:val="00326F90"/>
    <w:rsid w:val="00350EE9"/>
    <w:rsid w:val="00381EE0"/>
    <w:rsid w:val="003E4F26"/>
    <w:rsid w:val="00405974"/>
    <w:rsid w:val="00A77B19"/>
    <w:rsid w:val="00AA1D8D"/>
    <w:rsid w:val="00B47730"/>
    <w:rsid w:val="00C24E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433DA"/>
  <w14:defaultImageDpi w14:val="300"/>
  <w15:docId w15:val="{FC4B0490-7EBE-F94C-9036-1E8FDB51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M. Nelson</cp:lastModifiedBy>
  <cp:revision>4</cp:revision>
  <dcterms:created xsi:type="dcterms:W3CDTF">2025-04-10T11:59:00Z</dcterms:created>
  <dcterms:modified xsi:type="dcterms:W3CDTF">2025-04-10T12:06:00Z</dcterms:modified>
  <cp:category/>
</cp:coreProperties>
</file>