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1．（6分）在叶肉细胞中，CO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的固定和产生场所分别是（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叶绿体基质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类囊体薄膜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线粒体基质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线粒体内膜．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2．（6分）根据表中的已知条件，判断苏氨酸的密码子是（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DNA双链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mRNA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tRNA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氨基酸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苏氨酸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A．TGU</w:t>
        <w:tab/>
        <w:t xml:space="preserve">B．UGA</w:t>
        <w:tab/>
        <w:t xml:space="preserve">C．ACU</w:t>
        <w:tab/>
        <w:t xml:space="preserve">D．UCU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3．（6分）在“观察根尖分生组织细胞的有丝分裂”实验中，以下操作和结论正确的是（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A．剪取5cm根尖，用酒精和吡罗红混合液解离染色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B．如图是高倍显微镜下调节细准焦螺旋看到的视野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C．持续观察，视野中的K细胞将分裂成两个子细胞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D．视野中，N细胞的染色体数目是M细胞的一半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4．（6分）下列关于物质跨膜运输的叙述，错误的是（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A．主动运输过程中，需要载体蛋白协助和ATP提供能量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B．在静息状态下，神经细胞不再进行葡萄糖的跨膜运输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C．质壁分离过程中，水分子外流导致细胞内渗透压升高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D．抗体分泌过程中，囊泡膜经融合成为细胞膜的一部分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5．（6分）下表为三个稳定草原生态系统中植物调查的统计数据．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草原类型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草甸草原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典型草原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荒漠草原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植物总种数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平均种数（种数/米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平均产量（千克干重/公顷）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旱生植物的种数比例（%）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78.0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据表可以确认的是（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A．在植物丰富的区域采用样方法获得数据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B．典型草原中各种群密度均大于荒漠草原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C．流经草甸草原的总能量大于典型草原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D．表中荒漠草原旱生植物的丰富度最高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6．（6分）食指长于无名指为长食指，反之为短食指，该相对性状由常染色体上一对等位基因控制（T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表示短食指基因，T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表示长食指基因．）此等位基因表达受性激素影响，T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在男性为显性，T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在女性为显性．若一对夫妇均为短食指，所生孩子既有长食指又有短食指，则该夫妇再生一个孩子是长食指的概率为（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二、非选择题：本卷共2题，共44分．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7．（26分）Ⅰ．如图是培育表达人乳铁蛋白的乳腺生物反应器的技术路线。图中tet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表示四环素抗性基因，amp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表示氨苄青霉素抗性金银，BamHI、HindIII、SmaI直线所示为三种限制酶的酶切位点。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（1）图中将人乳蛋白基因插入载体，需用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限制酶同时酶切载体和人乳铁蛋白基因。筛选含有重组载体的大肠杆菌首先需要在含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的培养基上进行。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（2）能使人乳铁蛋白基因在乳腺细胞中特异性表达的调控序列是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A．启动子    B．tet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    C．复制原点     D．amp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可采用的操作方法是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A．农杆菌转化     B．大肠杆菌转化     C．显微注射     D．细胞融合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可采用的生物技术是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（5）对早期胚胎进行切割，经过程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可获得多个新个体。这利用了细胞的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（6）为检测人乳铁蛋白是否成功表达，可采用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（填字母代号）技术。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A．核酸分子杂交     B．基因序列分析     C．抗原﹣抗体杂交     D．PCR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Ⅱ．某地区从1964年开始使用杀虫剂杀灭蚊子幼虫，至1967年中期停用。如图是五年间蚊子幼虫基因型频率变化曲线。R表示杀虫剂抗性基因，S表示野生敏感型基因。据图回答：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（1）R基因的出现是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的结果。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（2）在RR基因型频率达到峰值时，RS、SS基因型频率分别为4%和1%，此时R基因的频率为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（3）1969年中期RR基因型几近消失，表明在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的环境条件下，RR基因型幼虫比SS基因型幼虫的生存适应能力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（4）该地区从此不再使用杀虫剂。预测未来种群中，最终频率最高的基因型是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8．（18分）根据下列实验结果回答问题。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实验一：选取同品种、同日龄的健康大鼠若干只，实施切除手术，一段时间后随机等分成四组，分别注射激素及生理盐水30天，结果如图1。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（1）该实验的目的是探究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（2）手术应切除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。每次注射各激素的量应按照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来计算。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（3）图1表明胰岛素具有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的作用，胰岛素与生长激素共同作用的效应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（小于/等于/大于）它们单独作用之和。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实验二：选取健康大鼠，持续电刺激支配其胰岛的副交感神经，测定血液中胰岛素和胰高血糖素的浓度，结果如图2。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（4）开始刺激后，血糖浓度将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（5）图2中胰高血糖素浓度下降的原因之一是胰岛素直接抑制胰岛A细胞分泌。若要证实该结论，可在胰岛组织中注射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，通过检测注射前后期周围血液中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的浓度变化来确定。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