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2011年天津市高考生物试卷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1．（3分）下列有关酶的叙述正确的是（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A．酶的基本组成单位是氨基酸和脱氧核糖核苷酸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B．酶通过为反应物供能和降低活化能来提高化学反应速率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C．在动物细胞培养中，胰蛋白酶可将组织分散成单个细胞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D．DNA连接酶可连接DNA双链的氢键，是双链延伸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2．（3分）将紫色洋葱鳞片叶表皮细胞浸润在0.3g/mL的蔗糖溶液中，1分钟后进行显微镜观察，结果如图，下列叙述错误的是（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A．图中L是细胞壁，M是液泡，N是细胞质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B．将视野中的细胞浸润在清水中，原生质体会逐渐复原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C．实验说明细胞膜与细胞壁在物质透过性上存在显著差异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D．洋葱根尖分生区细胞不宜作为该实验的实验材料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A．胚胎发育过程中不存在细胞衰老或凋亡现象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B．用小鼠不同器官和组织构建的cDNA文库相同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C．垂体功能受损的幼犬会出现抗寒能力减弱等现象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D．刺激支配肌肉的神经，引起该肌肉收缩的过程属于反射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4．（3分）玉米花药培养的单倍体幼苗，经秋水仙素处理后形成二倍体植株，如图是该过程中某时段细胞核DNA含量变化示意图．下列叙述错误的是（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A．a﹣b过程中细胞不会发生基因变化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B．c﹣d过程中细胞内发生了染色体数加倍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C．c点后细胞内各染色体组的基因组成相同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D．f﹣g过程中同源染色体分离，染色体数减半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土壤农杆菌能将自身Ti质粒的T﹣DNA整合到植物染色体DNA上，诱发植物形成肿瘤．T﹣DNA中含有植物生长素合成酶基因（S）和细胞分裂素合成酶基因（R），它们的表达与否能影响相应植物激素的含量，进而调节肿瘤组织的生长与分化．据图分析，下列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A．当细胞分裂素与生长素的比值升高时，诱发肿瘤生根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B．清除肿瘤组织中的土壤农杆菌后，肿瘤不再生长与分化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C．图中肿瘤组织在不含细胞分裂素与生长素的培养基中不能生长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D．基因通过控制酶的合成控制代谢，进而控制肿瘤组织生长与分化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6．（3分）某致病基因h位于X染色体上，该基因和正常基因H中的某一特定序列BclI酶切后，可产生大小不同的片段（如图1，bp表示碱基对），据此可进行基因诊断。图2为某家庭病的遗传系谱。下列叙述错误的是（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A．h基因特定序列中BclⅠ酶切位点的消失是碱基序列改变的结果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B．Ⅱ﹣1的基因诊断中只出现142bp片段，其致病基因来自母亲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C．Ⅱ﹣2的基因诊断中出现142bp，99bp和43bp三个片段，其基因型为X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D．Ⅱ﹣3的丈夫表现型正常，其儿子的基因诊断中出现142bp片段的概率为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非选择题：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7．（3分）乳腺上皮细胞合成乳汁所需的营养物质由血液供给。下为牛乳腺上皮细胞合成与分泌乳汁的示意图，下表为牛乳汁和血液的部分成分比较。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成  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血  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乳  汁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水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K+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葡萄糖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乳糖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甘油三酯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氨基酸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酪蛋白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免疫球蛋白（抗体）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91.00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0.34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0.025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0.002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2.60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86.00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极微量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4.60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3.70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极微量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2.80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据图表回答：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（1）乳腺上皮细胞所处的内环境是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，其中的K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可通过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方式转运到乳腺上皮细胞。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（2）与血浆相比，乳汁中特有的成分是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（3）乳脂的主要成分是甘油三酯，合成甘油三酯的细胞器是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（4）合成乳糖是葡萄糖主要来自血浆，还可利用表中血浆的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转化而来。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（5）图表中，不能在乳腺上皮细胞中合成的生物大分子是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，在牛乳房出现炎症时，该物质在血浆和乳汁中的含量会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，该物质的作用是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3分）絮凝性细菌分泌的具有絮凝活性的高分子化合物，能与石油污水中的悬浮颗粒和有机物等形成絮状沉淀，起到净化污水的作用。为进一步提高对石油污水的净化效果，将絮凝性细菌和石油降解菌融合，构建目的菌株。其流程图如下图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据图回答：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（1）溶菌酶的作用是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（2）PEG的作用是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（3）经处理后，在再生培养基上，未融合的A、B难以生长。图中AB融合菌能生长和繁殖的原因是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（4）目的菌株的筛选：筛选既能分泌具有絮凝活性的化合物，又能在含有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的培养基上生长的AB融合菌，选择效果最好的最为目的菌株。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（5）为探究目的菌株不同发酵时间发酵液的絮凝效果，将目的菌株进行发酵培养，定时取发酵液，加入石油污水中：同时设置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为对照组。经搅拌、静置各3分钟后，分别测定上层水样的石油浓度COD值（COD值越高表示有机物污染程度越高），计算石油去除率和COD去除率，结果如下图。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（6）目的菌的种群增长曲线是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型。在40～44小时，发酵液对石油污水的净化效果最好，其原因是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9．（3分）放牧强度可影响人工草地的物质循环和能量流动。图1是亚热带某人工草地在不同放牧强度下牧草净光合产量（净光合产量＝光合作用合成量﹣呼吸作用消耗量）的变化图，G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为不放牧，G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～G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为放牧强度逐渐增强。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据图回答：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（1）5～10月份的最适放牧强度是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（从G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～G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中选填），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月份可被初级消费者利用的总能量最多。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（2）与放牧草地相比，8月份不放牧草地净光合产量明显偏低的原因有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（多选）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A、过多枝叶对下层植物有遮光作用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B、植株衰老组织较多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C、缺少动物粪尿的施肥作用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D、草地生态系统的物质循环加快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（3）据图1分析，为使牧草净光合产量维持在最高水平，4～10月份需要采取的放牧措施是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（4）牧草的光合作用强度可用单位时间和面积的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来表示。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（5）在牧草上喷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32</w:t>
      </w:r>
      <w:r>
        <w:rPr>
          <w:rFonts w:ascii="Times New Roman" w:hAnsi="Times New Roman" w:cs="Times New Roman"/>
          <w:sz w:val="21"/>
          <w:sz-cs w:val="21"/>
        </w:rPr>
        <w:t xml:space="preserve">P标记的磷肥，检测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32</w:t>
      </w:r>
      <w:r>
        <w:rPr>
          <w:rFonts w:ascii="Times New Roman" w:hAnsi="Times New Roman" w:cs="Times New Roman"/>
          <w:sz w:val="21"/>
          <w:sz-cs w:val="21"/>
        </w:rPr>
        <w:t xml:space="preserve">P在初级和次级消费者中的放射强度，结果见图2．其中A消费者处于第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营养级。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（6）在生态系统的生物成分中，生产者体内的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32</w:t>
      </w:r>
      <w:r>
        <w:rPr>
          <w:rFonts w:ascii="Times New Roman" w:hAnsi="Times New Roman" w:cs="Times New Roman"/>
          <w:sz w:val="21"/>
          <w:sz-cs w:val="21"/>
        </w:rPr>
        <w:t xml:space="preserve">P除被消费者利用外，还有部分进入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