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1.有关生物膜结构与功能的叙述，正确的是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A.膜载体蛋白的合成不需要ATP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B.葡萄糖跨膜运输不需要载体蛋白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C.线粒体外膜与内膜的主要功能不同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D.变形虫和草履虫的细胞膜基本组成成分不同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2.培育草莓脱毒苗所采用的主要技术是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A.组织培养   B.细胞杂交   C.显微注射    D.核移植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3.分析下表，可推测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注：“+”显色，“++”显色更深；“-”不显色.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A.甲溶液含有淀粉酶   B.乙溶液含有还原糖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C.混合溶液不含淀粉    D.混合溶液含有淀粉酶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 、科学家用人工合成的染色体片段，成功替代了酵母菌的第6号和第9号染色体的部分片段，得到的重组酵母菌能存活 ， 未见明显异常 ，关于该重组酵母菌的叙述，错误的是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 还可能发生变异    B  表现型仍受环境的影响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  增加了酵母菌的遗传多样性    D  改变了酵母菌的进化方向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24、小杨对4种实验材料的研究及观察记录见下表，正确的是：（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25、人类红绿色盲的基因位于X染色体上、秃顶的基因位于常染色体上，结合下表信息可预测，图8中 = 2 \* ROMAN II—3和 = 2 \* ROMAN II—4所生子女是（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A.非秃顶色盲儿子的概率为1/4         B.非秃顶色盲女儿的概率为1/8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C.秃顶色盲儿子的概率为1/8           C.秃顶色盲女儿的概率为0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三、非选择题：本大题共11小题，共182分。按题目要求作答。解答题应写出必要的文字说明、方程式和重要演算步骤，只写出最后答案的不能得分。有数值计算的题，答案中必须明确写出数值和单位。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27.（16分）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罗非鱼是杂食性鱼类，在珠江三角洲地区大量养殖，能适应咸、淡水环境。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当罗非鱼由淡水进入咸水，机体会大量脱水，细胞外液渗透压____________，渗透压感受器产生兴奋，并将兴奋传给_____________，促使其释放_____________，该物质促进肾小管和集合管重吸收水，使尿量减少以适应咸水环境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某实验基地水库中放养了一批罗非鱼。其监测数据显示，a~e段这种罗非鱼的种群数量发生了明显波动，调查发现有人在该水库中放生了大型肉食性鱼（FNE）；一段时间后，罗非鱼种群数量达到了相对稳定状态（见图9）。图中显示，罗非鱼种群在a~b段呈______型增长。据图推测，FNE最可能是在___________对应的时间点进入水库；在捕食压力下，罗非鱼种群的环境容纳量接近_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（3）富营养化导致藻类大量繁殖，该水库出现水华现象，浮游动物和鱼类均受到影响。请用文字和箭头描述藻毒素从产毒藻逐级积累到FNE体内的途径。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28.（16）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子叶黄色（Y，野生型）和绿色（y，突变型）是孟德尔研究的豌豆相对性状之一。野生型豌豆成熟后，子叶由绿色变为黄色。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（1）在黑暗条件下，野生型和突变型豌豆的叶片总叶绿素含量的变化见图10。其中，反映突变型豌豆叶片总绿叶素含量变化的曲先是____________。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（2）Y基因和y基因的翻译产物分别是SGR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蛋白和SGR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蛋白，其部分氨基酸序列见图11。据图11推测，Y基因突变为y基因的原因是发生了碱基对的_______和_______。进一步研究发现，SGR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蛋白和SGR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蛋白都能进入叶绿体。可推测，位点_______的突变导致了该蛋白的功能异常，从而使该蛋白调控叶绿素降解的能力减弱，最终使突变型豌豆子叶和叶片维持“常绿”。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（3）水稻Y基因发生突变，也出现了类似的“常绿”突变植株y2，其叶片衰老后仍为绿色。为验证水稻Y基因的功能，设计了以下实验，请完善。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29.（16分）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食品种类多，酸碱度范围广。生物兴趣小组拟探究在食品生产应用范围较广的蛋白酶，查阅相关文献，得知：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pH对不同蛋白酶的活力影响有差异。据图12可知，_________更适宜作为食品添加剂，理由是________。蛋白酶的活力可用________的量来表示。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（2）该蛋白酶的提取工艺流程如下：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兴趣小组分别对酶保护剂浓度、提取液pH进行了探究实验。结果显示，酶保护剂浓度在0.02-0.06mol/L范围内，酶活力较高；提取液pH在6.0-8.0范围内，酶活力较高。他们认为，要进一步提高粗酶制剂的美活力，以达到最佳提取效果，还需对酶保护剂浓度和提取液pH进行优化，并确定以此为探究课题。请拟定该课题名称，设计实验结果记录表。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[来源:Z#xx#k.Com]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