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first-line="3612"/>
      </w:pPr>
      <w:r>
        <w:rPr>
          <w:rFonts w:ascii="Times" w:hAnsi="Times" w:cs="Times"/>
          <w:sz w:val="28"/>
          <w:sz-cs w:val="28"/>
          <w:b/>
        </w:rPr>
        <w:t xml:space="preserve"/>
      </w:r>
    </w:p>
    <w:p>
      <w:pPr/>
      <w:r>
        <w:rPr>
          <w:rFonts w:ascii="Times" w:hAnsi="Times" w:cs="Times"/>
          <w:sz w:val="21"/>
          <w:sz-cs w:val="21"/>
        </w:rPr>
        <w:t xml:space="preserve">一、单项选择题：本大题共16小题，每小题4分，满分64分.在每小题给出的四个选项中，只有一项是符合题目要求的.选对的得4分，选错或不答的得0分。</w:t>
      </w:r>
    </w:p>
    <w:p>
      <w:pPr>
        <w:jc w:val="both"/>
        <w:ind w:first-line="420"/>
      </w:pPr>
      <w:r>
        <w:rPr>
          <w:rFonts w:ascii="Times" w:hAnsi="Times" w:cs="Times"/>
          <w:sz w:val="21"/>
          <w:sz-cs w:val="21"/>
        </w:rPr>
        <w:t xml:space="preserve">1.有关糖的叙述，正确的是（</w:t>
        <w:tab/>
        <w:t xml:space="preserve">）</w:t>
      </w:r>
    </w:p>
    <w:p>
      <w:pPr>
        <w:jc w:val="both"/>
        <w:ind w:first-line="420"/>
      </w:pPr>
      <w:r>
        <w:rPr>
          <w:rFonts w:ascii="Times" w:hAnsi="Times" w:cs="Times"/>
          <w:sz w:val="21"/>
          <w:sz-cs w:val="21"/>
        </w:rPr>
        <w:t xml:space="preserve">A.葡萄糖在线粒体中合成</w:t>
        <w:tab/>
        <w:t xml:space="preserve"/>
        <w:tab/>
        <w:t xml:space="preserve"/>
        <w:tab/>
        <w:t xml:space="preserve"/>
        <w:tab/>
        <w:t xml:space="preserve"/>
        <w:tab/>
        <w:t xml:space="preserve"/>
        <w:tab/>
        <w:t xml:space="preserve">B.葡萄糖遇碘变为蓝色</w:t>
      </w:r>
    </w:p>
    <w:p>
      <w:pPr>
        <w:jc w:val="both"/>
        <w:ind w:first-line="420"/>
      </w:pPr>
      <w:r>
        <w:rPr>
          <w:rFonts w:ascii="Times" w:hAnsi="Times" w:cs="Times"/>
          <w:sz w:val="21"/>
          <w:sz-cs w:val="21"/>
        </w:rPr>
        <w:t xml:space="preserve">C.纤维素由葡萄糖组成</w:t>
        <w:tab/>
        <w:t xml:space="preserve"/>
        <w:tab/>
        <w:t xml:space="preserve"/>
        <w:tab/>
        <w:t xml:space="preserve"/>
        <w:tab/>
        <w:t xml:space="preserve"/>
        <w:tab/>
        <w:t xml:space="preserve"/>
        <w:tab/>
        <w:t xml:space="preserve"/>
        <w:tab/>
        <w:t xml:space="preserve">D.胰岛素促进糖原分解</w:t>
      </w:r>
    </w:p>
    <w:p>
      <w:pPr>
        <w:jc w:val="both"/>
        <w:ind w:first-line="420"/>
      </w:pPr>
      <w:r>
        <w:rPr>
          <w:rFonts w:ascii="Times" w:hAnsi="Times" w:cs="Times"/>
          <w:sz w:val="21"/>
          <w:sz-cs w:val="21"/>
        </w:rPr>
        <w:t xml:space="preserve">2.1953年Watson和Crick构建了DNA双螺旋结构模型，其重要意义在于</w:t>
      </w:r>
    </w:p>
    <w:p>
      <w:pPr>
        <w:jc w:val="both"/>
        <w:ind w:first-line="420"/>
      </w:pPr>
      <w:r>
        <w:rPr>
          <w:rFonts w:ascii="Times" w:hAnsi="Times" w:cs="Times"/>
          <w:sz w:val="21"/>
          <w:sz-cs w:val="21"/>
        </w:rPr>
        <w:t xml:space="preserve">①证明DNA是主要的遗传物质</w:t>
        <w:tab/>
        <w:t xml:space="preserve"/>
        <w:tab/>
        <w:t xml:space="preserve"/>
        <w:tab/>
        <w:t xml:space="preserve">②确定DNA是染色体的组成成分</w:t>
      </w:r>
    </w:p>
    <w:p>
      <w:pPr>
        <w:jc w:val="both"/>
        <w:ind w:first-line="420"/>
      </w:pPr>
      <w:r>
        <w:rPr>
          <w:rFonts w:ascii="Times" w:hAnsi="Times" w:cs="Times"/>
          <w:sz w:val="21"/>
          <w:sz-cs w:val="21"/>
        </w:rPr>
        <w:t xml:space="preserve">③发现DNA如何存储遗传信息</w:t>
        <w:tab/>
        <w:t xml:space="preserve"/>
        <w:tab/>
        <w:t xml:space="preserve"/>
        <w:tab/>
        <w:t xml:space="preserve">④为DNA复制机构的阐明奠定基础</w:t>
      </w:r>
    </w:p>
    <w:p>
      <w:pPr>
        <w:jc w:val="both"/>
        <w:ind w:first-line="420"/>
      </w:pPr>
      <w:r>
        <w:rPr>
          <w:rFonts w:ascii="Times" w:hAnsi="Times" w:cs="Times"/>
          <w:sz w:val="21"/>
          <w:sz-cs w:val="21"/>
        </w:rPr>
        <w:t xml:space="preserve">A. ①③</w:t>
        <w:tab/>
        <w:t xml:space="preserve"/>
        <w:tab/>
        <w:t xml:space="preserve">B. ②③</w:t>
        <w:tab/>
        <w:t xml:space="preserve"/>
        <w:tab/>
        <w:t xml:space="preserve">C. ②④</w:t>
        <w:tab/>
        <w:t xml:space="preserve"/>
        <w:tab/>
        <w:t xml:space="preserve"/>
        <w:tab/>
        <w:t xml:space="preserve">D. ③④</w:t>
      </w:r>
    </w:p>
    <w:p>
      <w:pPr>
        <w:jc w:val="both"/>
      </w:pPr>
      <w:r>
        <w:rPr>
          <w:rFonts w:ascii="Times" w:hAnsi="Times" w:cs="Times"/>
          <w:sz w:val="21"/>
          <w:sz-cs w:val="21"/>
        </w:rPr>
        <w:t xml:space="preserve">4.图1为去顶芽对拟南芥主根生长影响的实验结果，分析正确的是（</w:t>
        <w:tab/>
        <w:t xml:space="preserve">）</w:t>
      </w:r>
    </w:p>
    <w:p>
      <w:pPr>
        <w:jc w:val="both"/>
        <w:ind w:first-line="420"/>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A.去顶芽能促进主根生长</w:t>
      </w:r>
    </w:p>
    <w:p>
      <w:pPr>
        <w:jc w:val="both"/>
        <w:ind w:first-line="420"/>
      </w:pPr>
      <w:r>
        <w:rPr>
          <w:rFonts w:ascii="Times" w:hAnsi="Times" w:cs="Times"/>
          <w:sz w:val="21"/>
          <w:sz-cs w:val="21"/>
        </w:rPr>
        <w:t xml:space="preserve">B.去顶芽植株不能合成生长素</w:t>
      </w:r>
    </w:p>
    <w:p>
      <w:pPr>
        <w:jc w:val="both"/>
        <w:ind w:first-line="420"/>
      </w:pPr>
      <w:r>
        <w:rPr>
          <w:rFonts w:ascii="Times" w:hAnsi="Times" w:cs="Times"/>
          <w:sz w:val="21"/>
          <w:sz-cs w:val="21"/>
        </w:rPr>
        <w:t xml:space="preserve">C.生长素由顶芽向下非极性运输</w:t>
      </w:r>
    </w:p>
    <w:p>
      <w:pPr>
        <w:jc w:val="both"/>
        <w:ind w:first-line="420"/>
      </w:pPr>
      <w:r>
        <w:rPr>
          <w:rFonts w:ascii="Times" w:hAnsi="Times" w:cs="Times"/>
          <w:sz w:val="21"/>
          <w:sz-cs w:val="21"/>
        </w:rPr>
        <w:t xml:space="preserve">D.外源生长素能替代顶芽促进主根生长</w:t>
      </w:r>
    </w:p>
    <w:p>
      <w:pPr>
        <w:jc w:val="both"/>
        <w:ind w:first-line="420"/>
      </w:pPr>
      <w:r>
        <w:rPr>
          <w:rFonts w:ascii="Times New Roman" w:hAnsi="Times New Roman" w:cs="Times New Roman"/>
          <w:sz w:val="21"/>
          <w:sz-cs w:val="21"/>
        </w:rPr>
        <w:t xml:space="preserve">5.图2所示某湖泊的食物网，其中鱼a、鱼b为两种小型土著鱼，若引入一种以中小型鱼类为食的鲈鱼，将出现的情况是</w:t>
      </w:r>
    </w:p>
    <w:p>
      <w:pPr>
        <w:jc w:val="both"/>
        <w:ind w:first-line="420"/>
      </w:pPr>
      <w:r>
        <w:rPr>
          <w:rFonts w:ascii="Times New Roman" w:hAnsi="Times New Roman" w:cs="Times New Roman"/>
          <w:sz w:val="21"/>
          <w:sz-cs w:val="21"/>
        </w:rPr>
        <w:t xml:space="preserve">A．鲈鱼的产量不能弥补土著鱼的减少量</w:t>
      </w:r>
    </w:p>
    <w:p>
      <w:pPr>
        <w:jc w:val="both"/>
        <w:ind w:first-line="420"/>
      </w:pPr>
      <w:r>
        <w:rPr>
          <w:rFonts w:ascii="Times New Roman" w:hAnsi="Times New Roman" w:cs="Times New Roman"/>
          <w:sz w:val="21"/>
          <w:sz-cs w:val="21"/>
        </w:rPr>
        <w:t xml:space="preserve">B．土著鱼在与鲈鱼的竞争中处于劣势</w:t>
      </w:r>
    </w:p>
    <w:p>
      <w:pPr>
        <w:jc w:val="both"/>
        <w:ind w:first-line="420"/>
      </w:pPr>
      <w:r>
        <w:rPr>
          <w:rFonts w:ascii="Times New Roman" w:hAnsi="Times New Roman" w:cs="Times New Roman"/>
          <w:sz w:val="21"/>
          <w:sz-cs w:val="21"/>
        </w:rPr>
        <w:t xml:space="preserve">C．浮游动物总量锐减后再急升</w:t>
      </w:r>
    </w:p>
    <w:p>
      <w:pPr>
        <w:jc w:val="both"/>
        <w:ind w:first-line="420"/>
      </w:pPr>
      <w:r>
        <w:rPr>
          <w:rFonts w:ascii="Times New Roman" w:hAnsi="Times New Roman" w:cs="Times New Roman"/>
          <w:sz w:val="21"/>
          <w:sz-cs w:val="21"/>
        </w:rPr>
        <w:t xml:space="preserve">D．浮游植物总量急升后再锐减</w:t>
      </w:r>
    </w:p>
    <w:p>
      <w:pPr>
        <w:jc w:val="both"/>
        <w:ind w:first-line="420"/>
      </w:pPr>
      <w:r>
        <w:rPr>
          <w:rFonts w:ascii="Times New Roman" w:hAnsi="Times New Roman" w:cs="Times New Roman"/>
          <w:sz w:val="21"/>
          <w:sz-cs w:val="21"/>
        </w:rPr>
        <w:t xml:space="preserve">6.以下为某兴趣小组获得的实验结果及其分析，正确的是</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tab/>
        <w:t xml:space="preserve">A </w:t>
        <w:tab/>
        <w:t xml:space="preserve"/>
        <w:tab/>
        <w:t xml:space="preserve"/>
        <w:tab/>
        <w:t xml:space="preserve"/>
        <w:tab/>
        <w:t xml:space="preserve">B</w:t>
        <w:tab/>
        <w:t xml:space="preserve"/>
        <w:tab/>
        <w:t xml:space="preserve"/>
        <w:tab/>
        <w:t xml:space="preserve"/>
        <w:tab/>
        <w:t xml:space="preserve"/>
        <w:tab/>
        <w:t xml:space="preserve"/>
        <w:tab/>
        <w:t xml:space="preserve">C</w:t>
        <w:tab/>
        <w:t xml:space="preserve"/>
        <w:tab/>
        <w:t xml:space="preserve"/>
        <w:tab/>
        <w:t xml:space="preserve"/>
        <w:tab/>
        <w:t xml:space="preserve"/>
        <w:tab/>
        <w:t xml:space="preserve"/>
        <w:tab/>
        <w:t xml:space="preserve">D</w:t>
      </w:r>
    </w:p>
    <w:p>
      <w:pPr>
        <w:jc w:val="both"/>
        <w:ind w:first-line="420"/>
      </w:pPr>
      <w:r>
        <w:rPr>
          <w:rFonts w:ascii="Times New Roman" w:hAnsi="Times New Roman" w:cs="Times New Roman"/>
          <w:sz w:val="21"/>
          <w:sz-cs w:val="21"/>
        </w:rPr>
        <w:t xml:space="preserve">二、双项选择题：本大题共9小题，每小题6分，共54分。在每小题给出的四个选项中，有两个选项符合题目要求，全部选对的得6分，只选1个且正确的得3分，有选错或者不答的得0分。</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rPr>
        <w:t xml:space="preserve">24.下宪为四种不同细胞的比较结果，正确的是</w:t>
      </w:r>
    </w:p>
    <w:p>
      <w:pPr>
        <w:jc w:val="both"/>
        <w:ind w:first-line="420"/>
      </w:pPr>
      <w:r>
        <w:rPr>
          <w:rFonts w:ascii="Times New Roman" w:hAnsi="Times New Roman" w:cs="Times New Roman"/>
          <w:sz w:val="21"/>
          <w:sz-cs w:val="21"/>
        </w:rPr>
        <w:t xml:space="preserve">选项</w:t>
      </w:r>
    </w:p>
    <w:p>
      <w:pPr>
        <w:jc w:val="both"/>
        <w:ind w:first-line="420"/>
      </w:pPr>
      <w:r>
        <w:rPr>
          <w:rFonts w:ascii="Times New Roman" w:hAnsi="Times New Roman" w:cs="Times New Roman"/>
          <w:sz w:val="21"/>
          <w:sz-cs w:val="21"/>
        </w:rPr>
        <w:t xml:space="preserve">细胞</w:t>
      </w:r>
    </w:p>
    <w:p>
      <w:pPr>
        <w:jc w:val="both"/>
        <w:ind w:first-line="420"/>
      </w:pPr>
      <w:r>
        <w:rPr>
          <w:rFonts w:ascii="Times New Roman" w:hAnsi="Times New Roman" w:cs="Times New Roman"/>
          <w:sz w:val="21"/>
          <w:sz-cs w:val="21"/>
        </w:rPr>
        <w:t xml:space="preserve">细胞壁</w:t>
      </w:r>
    </w:p>
    <w:p>
      <w:pPr>
        <w:jc w:val="both"/>
        <w:ind w:first-line="420"/>
      </w:pPr>
      <w:r>
        <w:rPr>
          <w:rFonts w:ascii="Times New Roman" w:hAnsi="Times New Roman" w:cs="Times New Roman"/>
          <w:sz w:val="21"/>
          <w:sz-cs w:val="21"/>
        </w:rPr>
        <w:t xml:space="preserve">光合作用</w:t>
      </w:r>
    </w:p>
    <w:p>
      <w:pPr>
        <w:jc w:val="both"/>
        <w:ind w:first-line="420"/>
      </w:pPr>
      <w:r>
        <w:rPr>
          <w:rFonts w:ascii="Times New Roman" w:hAnsi="Times New Roman" w:cs="Times New Roman"/>
          <w:sz w:val="21"/>
          <w:sz-cs w:val="21"/>
        </w:rPr>
        <w:t xml:space="preserve">染色质</w:t>
      </w:r>
    </w:p>
    <w:p>
      <w:pPr>
        <w:jc w:val="both"/>
        <w:ind w:first-line="420"/>
      </w:pPr>
      <w:r>
        <w:rPr>
          <w:rFonts w:ascii="Times New Roman" w:hAnsi="Times New Roman" w:cs="Times New Roman"/>
          <w:sz w:val="21"/>
          <w:sz-cs w:val="21"/>
        </w:rPr>
        <w:t xml:space="preserve">细胞全能性</w:t>
      </w:r>
    </w:p>
    <w:p>
      <w:pPr>
        <w:jc w:val="both"/>
        <w:ind w:first-line="420"/>
      </w:pPr>
      <w:r>
        <w:rPr>
          <w:rFonts w:ascii="Times New Roman" w:hAnsi="Times New Roman" w:cs="Times New Roman"/>
          <w:sz w:val="21"/>
          <w:sz-cs w:val="21"/>
        </w:rPr>
        <w:t xml:space="preserve">A</w:t>
      </w:r>
    </w:p>
    <w:p>
      <w:pPr>
        <w:jc w:val="both"/>
        <w:ind w:first-line="420"/>
      </w:pPr>
      <w:r>
        <w:rPr>
          <w:rFonts w:ascii="Times New Roman" w:hAnsi="Times New Roman" w:cs="Times New Roman"/>
          <w:sz w:val="21"/>
          <w:sz-cs w:val="21"/>
        </w:rPr>
        <w:t xml:space="preserve">蓝藻细胞</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无</w:t>
      </w:r>
    </w:p>
    <w:p>
      <w:pPr>
        <w:jc w:val="both"/>
        <w:ind w:first-line="420"/>
      </w:pPr>
      <w:r>
        <w:rPr>
          <w:rFonts w:ascii="Times New Roman" w:hAnsi="Times New Roman" w:cs="Times New Roman"/>
          <w:sz w:val="21"/>
          <w:sz-cs w:val="21"/>
        </w:rPr>
        <w:t xml:space="preserve">B</w:t>
      </w:r>
    </w:p>
    <w:p>
      <w:pPr>
        <w:jc w:val="both"/>
        <w:ind w:first-line="420"/>
      </w:pPr>
      <w:r>
        <w:rPr>
          <w:rFonts w:ascii="Times New Roman" w:hAnsi="Times New Roman" w:cs="Times New Roman"/>
          <w:sz w:val="21"/>
          <w:sz-cs w:val="21"/>
        </w:rPr>
        <w:t xml:space="preserve">洋葱根尖细胞</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无</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C</w:t>
      </w:r>
    </w:p>
    <w:p>
      <w:pPr>
        <w:jc w:val="both"/>
        <w:ind w:first-line="420"/>
      </w:pPr>
      <w:r>
        <w:rPr>
          <w:rFonts w:ascii="Times New Roman" w:hAnsi="Times New Roman" w:cs="Times New Roman"/>
          <w:sz w:val="21"/>
          <w:sz-cs w:val="21"/>
        </w:rPr>
        <w:t xml:space="preserve">兔成熟红细胞</w:t>
      </w:r>
    </w:p>
    <w:p>
      <w:pPr>
        <w:jc w:val="both"/>
        <w:ind w:first-line="420"/>
      </w:pPr>
      <w:r>
        <w:rPr>
          <w:rFonts w:ascii="Times New Roman" w:hAnsi="Times New Roman" w:cs="Times New Roman"/>
          <w:sz w:val="21"/>
          <w:sz-cs w:val="21"/>
        </w:rPr>
        <w:t xml:space="preserve">无</w:t>
      </w:r>
    </w:p>
    <w:p>
      <w:pPr>
        <w:jc w:val="both"/>
        <w:ind w:first-line="420"/>
      </w:pPr>
      <w:r>
        <w:rPr>
          <w:rFonts w:ascii="Times New Roman" w:hAnsi="Times New Roman" w:cs="Times New Roman"/>
          <w:sz w:val="21"/>
          <w:sz-cs w:val="21"/>
        </w:rPr>
        <w:t xml:space="preserve">无</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D</w:t>
      </w:r>
    </w:p>
    <w:p>
      <w:pPr>
        <w:jc w:val="both"/>
        <w:ind w:first-line="420"/>
      </w:pPr>
      <w:r>
        <w:rPr>
          <w:rFonts w:ascii="Times New Roman" w:hAnsi="Times New Roman" w:cs="Times New Roman"/>
          <w:sz w:val="21"/>
          <w:sz-cs w:val="21"/>
        </w:rPr>
        <w:t xml:space="preserve">蛙受精卵</w:t>
      </w:r>
    </w:p>
    <w:p>
      <w:pPr>
        <w:jc w:val="both"/>
        <w:ind w:first-line="420"/>
      </w:pPr>
      <w:r>
        <w:rPr>
          <w:rFonts w:ascii="Times New Roman" w:hAnsi="Times New Roman" w:cs="Times New Roman"/>
          <w:sz w:val="21"/>
          <w:sz-cs w:val="21"/>
        </w:rPr>
        <w:t xml:space="preserve">无</w:t>
      </w:r>
    </w:p>
    <w:p>
      <w:pPr>
        <w:jc w:val="both"/>
        <w:ind w:first-line="420"/>
      </w:pPr>
      <w:r>
        <w:rPr>
          <w:rFonts w:ascii="Times New Roman" w:hAnsi="Times New Roman" w:cs="Times New Roman"/>
          <w:sz w:val="21"/>
          <w:sz-cs w:val="21"/>
        </w:rPr>
        <w:t xml:space="preserve">无</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有</w:t>
      </w:r>
    </w:p>
    <w:p>
      <w:pPr>
        <w:jc w:val="both"/>
        <w:ind w:first-line="420"/>
      </w:pPr>
      <w:r>
        <w:rPr>
          <w:rFonts w:ascii="Times New Roman" w:hAnsi="Times New Roman" w:cs="Times New Roman"/>
          <w:sz w:val="21"/>
          <w:sz-cs w:val="21"/>
        </w:rPr>
        <w:t xml:space="preserve">25．果蝇红眼对白眼为显性，控制这对性状的基因位于X染色体。果蝇缺失1条</w:t>
      </w:r>
      <w:r>
        <w:rPr>
          <w:rFonts w:ascii="Times" w:hAnsi="Times" w:cs="Times"/>
          <w:sz w:val="21"/>
          <w:sz-cs w:val="21"/>
        </w:rPr>
        <w:t xml:space="preserve">Ⅳ号染色体仍能正常生存和繁殖，缺失2条则致死。一对都缺失1条Ⅳ号染色体的红眼果蝇杂交（亲本雌果蝇为杂合子），F</w:t>
      </w:r>
      <w:r>
        <w:rPr>
          <w:rFonts w:ascii="Times" w:hAnsi="Times" w:cs="Times"/>
          <w:sz w:val="21"/>
          <w:sz-cs w:val="21"/>
          <w:vertAlign w:val="subscript"/>
        </w:rPr>
        <w:t xml:space="preserve">1</w:t>
      </w:r>
      <w:r>
        <w:rPr>
          <w:rFonts w:ascii="Times" w:hAnsi="Times" w:cs="Times"/>
          <w:sz w:val="21"/>
          <w:sz-cs w:val="21"/>
        </w:rPr>
        <w:t xml:space="preserve">中</w:t>
      </w:r>
    </w:p>
    <w:p>
      <w:pPr>
        <w:jc w:val="both"/>
        <w:ind w:first-line="420"/>
      </w:pPr>
      <w:r>
        <w:rPr>
          <w:rFonts w:ascii="Times" w:hAnsi="Times" w:cs="Times"/>
          <w:sz w:val="21"/>
          <w:sz-cs w:val="21"/>
        </w:rPr>
        <w:t xml:space="preserve">A．白眼雄果蝇占1/4</w:t>
        <w:tab/>
        <w:t xml:space="preserve"/>
        <w:tab/>
        <w:t xml:space="preserve"/>
        <w:tab/>
        <w:t xml:space="preserve"/>
        <w:tab/>
        <w:t xml:space="preserve">   B.红眼磁果蝇占1/4</w:t>
      </w:r>
    </w:p>
    <w:p>
      <w:pPr>
        <w:jc w:val="both"/>
        <w:ind w:first-line="420"/>
      </w:pPr>
      <w:r>
        <w:rPr>
          <w:rFonts w:ascii="Times New Roman" w:hAnsi="Times New Roman" w:cs="Times New Roman"/>
          <w:sz w:val="21"/>
          <w:sz-cs w:val="21"/>
        </w:rPr>
        <w:t xml:space="preserve">C．染色体数正常的红眼果蝇</w:t>
      </w:r>
      <w:r>
        <w:rPr>
          <w:rFonts w:ascii="Times" w:hAnsi="Times" w:cs="Times"/>
          <w:sz w:val="21"/>
          <w:sz-cs w:val="21"/>
        </w:rPr>
        <w:t xml:space="preserve">占1/4    D.缺失1条Ⅳ号染色体的白眼果蝇占1/4</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三、非选择题:本大题共11小题，共182分。按题目要求作答。解答题应写出必要的文字说明、方程式和重要演算步骤，只写出最后答案的不能得分。有数值计算的题，答案中必须明确写出数值和单位。</w:t>
      </w:r>
    </w:p>
    <w:p>
      <w:pPr>
        <w:jc w:val="both"/>
        <w:ind w:first-line="420"/>
      </w:pPr>
      <w:r>
        <w:rPr>
          <w:rFonts w:ascii="Times New Roman" w:hAnsi="Times New Roman" w:cs="Times New Roman"/>
          <w:sz w:val="21"/>
          <w:sz-cs w:val="21"/>
        </w:rPr>
        <w:t xml:space="preserve">26（16分）污水处理厂的污泥富含有机质和无机成分，可用作肥料，但其多环芳烃（PAHs）等有机污染物含量通常较高，施入土壤会带来二次污染。生物质炭是由作物废弃秸秆等炭化而成。将污泥、含7%生物质炭的污泥均堆放一段时间后用于盆栽实验，研究它们对黑麦草生长及PAHs迁移的影响，结果见下表。</w:t>
      </w:r>
    </w:p>
    <w:p>
      <w:pPr>
        <w:jc w:val="both"/>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（1）生物质炭孔隙结构发达，能改善土壤的通气状况，使根系细胞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加强，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以便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合成增加，从而促进根系对土壤养分的吸收。</w:t>
      </w:r>
    </w:p>
    <w:p>
      <w:pPr>
        <w:jc w:val="both"/>
        <w:ind w:first-line="420"/>
      </w:pPr>
      <w:r>
        <w:rPr>
          <w:rFonts w:ascii="Times New Roman" w:hAnsi="Times New Roman" w:cs="Times New Roman"/>
          <w:sz w:val="21"/>
          <w:sz-cs w:val="21"/>
        </w:rPr>
        <w:t xml:space="preserve">（2）有表可知，施用含生物质炭污泥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，从而促进黑麦草生长；污泥的施用使土壤和黑麦草的PAHs含量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，但生物质炭的输入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，从而降低PAHs污染的风险。由此可见，生物质炭有望用作污泥改良剂，促进污泥的推广应用。污泥的应用符合生态工程的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原理。</w:t>
      </w:r>
    </w:p>
    <w:p>
      <w:pPr>
        <w:jc w:val="both"/>
        <w:ind w:first-line="480"/>
      </w:pPr>
      <w:r>
        <w:rPr>
          <w:rFonts w:ascii="Times New Roman" w:hAnsi="Times New Roman" w:cs="Times New Roman"/>
          <w:sz w:val="24"/>
          <w:sz-cs w:val="24"/>
        </w:rPr>
        <w:t xml:space="preserve">27.（16分）</w:t>
      </w:r>
      <w:r>
        <w:rPr>
          <w:rFonts w:ascii="Times New Roman" w:hAnsi="Times New Roman" w:cs="Times New Roman"/>
          <w:sz w:val="21"/>
          <w:sz-cs w:val="21"/>
        </w:rPr>
        <w:t xml:space="preserve">下丘脑体温调节中枢的冷敏神经元和热敏神经元放电频率因体体温变化而相应改变如图10，正常情况下C、W曲线交于点S，此点对应的温度为正常温度。</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（1）由图可知，当体温低于正常值时，冷敏神经元的放电频率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热敏神经元的放电频率，此时人体感觉到冷，随即通过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调节，增加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、减少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，使体温回升至正常.</w:t>
      </w:r>
    </w:p>
    <w:p>
      <w:pPr>
        <w:jc w:val="both"/>
        <w:ind w:first-line="420"/>
      </w:pPr>
      <w:r>
        <w:rPr>
          <w:rFonts w:ascii="Times New Roman" w:hAnsi="Times New Roman" w:cs="Times New Roman"/>
          <w:sz w:val="21"/>
          <w:sz-cs w:val="21"/>
        </w:rPr>
        <w:t xml:space="preserve">（2）人体感染流感病毒后点S右移，出现发热。如体温持续偏高会导致内环境稳态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，需要采取降温措施。</w:t>
      </w:r>
    </w:p>
    <w:p>
      <w:pPr>
        <w:jc w:val="both"/>
        <w:ind w:first-line="420"/>
      </w:pPr>
      <w:r>
        <w:rPr>
          <w:rFonts w:ascii="Times New Roman" w:hAnsi="Times New Roman" w:cs="Times New Roman"/>
          <w:sz w:val="21"/>
          <w:sz-cs w:val="21"/>
        </w:rPr>
        <w:t xml:space="preserve">（3）人体初次感染流感病毒后，免疫系统随即启动，裂解被病毒人侵的宿主细胞和清除血液中的病毒.请用文字和箭头描述此免疫过程.</w:t>
      </w:r>
    </w:p>
    <w:p>
      <w:pPr>
        <w:jc w:val="both"/>
        <w:ind w:first-line="420"/>
      </w:pPr>
      <w:r>
        <w:rPr>
          <w:rFonts w:ascii="Times New Roman" w:hAnsi="Times New Roman" w:cs="Times New Roman"/>
          <w:sz w:val="21"/>
          <w:sz-cs w:val="21"/>
        </w:rPr>
        <w:t xml:space="preserve">28．（16分）地中海贫血症属于常染色体遗传病。一堆夫妇生有一位重型β地中海贫血症患儿，分析发现，患儿血红蛋白β链第39位氨基酸的编码序列发生了突变（C→T）。用PCR扩增包含该位点的一段DNA片段l，突变序列的扩增片段可用一种限制酶酶切为大小不同的两个片段m和s；但正常序列的扩增片段不能被该酶酶切，如图11（a）。目前患儿母亲再次怀孕，并接受了产权基因诊断。家庭成员及胎儿的PCR扩增产物酶切电泳带型示意图见图11（b）。（终止密码子为UAA、UAG、UGA。）</w:t>
      </w:r>
    </w:p>
    <w:p>
      <w:pPr>
        <w:ind w:first-line="560"/>
        <w:spacing w:before="480"/>
      </w:pPr>
      <w:r>
        <w:rPr>
          <w:rFonts w:ascii="Times" w:hAnsi="Times" w:cs="Times"/>
          <w:sz w:val="28"/>
          <w:sz-cs w:val="28"/>
          <w:b/>
          <w:color w:val="365F91"/>
        </w:rPr>
        <w:t xml:space="preserve"/>
      </w:r>
    </w:p>
    <w:p>
      <w:pPr>
        <w:jc w:val="both"/>
        <w:ind w:first-line="420"/>
      </w:pPr>
      <w:r>
        <w:rPr>
          <w:rFonts w:ascii="Times New Roman" w:hAnsi="Times New Roman" w:cs="Times New Roman"/>
          <w:sz w:val="21"/>
          <w:sz-cs w:val="21"/>
        </w:rPr>
        <w:t xml:space="preserve">（1）在获得单链模板的方式上，PCR扩增与体内DNA复制不同，前者通过__________解开双链，后者通过________解开双链。</w:t>
      </w:r>
    </w:p>
    <w:p>
      <w:pPr>
        <w:jc w:val="both"/>
        <w:ind w:first-line="420"/>
      </w:pPr>
      <w:r>
        <w:rPr>
          <w:rFonts w:ascii="Times New Roman" w:hAnsi="Times New Roman" w:cs="Times New Roman"/>
          <w:sz w:val="21"/>
          <w:sz-cs w:val="21"/>
        </w:rPr>
        <w:t xml:space="preserve">（2）据图分析，胎儿的基因型是_______（基因用A、a表示）。患儿患病可能的原因是_________的原始生殖细胞通过_______________过程产生配子时，发生了基因突变；从基因表达水平分析，其患病是由于_____________。</w:t>
      </w:r>
    </w:p>
    <w:p>
      <w:pPr>
        <w:jc w:val="both"/>
        <w:ind w:first-line="420"/>
      </w:pPr>
      <w:r>
        <w:rPr>
          <w:rFonts w:ascii="Times New Roman" w:hAnsi="Times New Roman" w:cs="Times New Roman"/>
          <w:sz w:val="21"/>
          <w:sz-cs w:val="21"/>
        </w:rPr>
        <w:t xml:space="preserve">（3）研究者在另一种贫血症的一位患者β链基因中检测到一个新的突变位点，该突变导致β链第102位的天冬酰胺替换为苏氨酸。如果____________，但____________，则为证明该突变位点就是这种贫血症的致病位点提供了一个有力证据。</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