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A91940" w:rsidP="00A91940" w14:paraId="368D0C19" w14:textId="77777777">
      <w:pPr>
        <w:spacing w:line="360" w:lineRule="auto"/>
        <w:ind w:left="390" w:hanging="390" w:hangingChars="130"/>
        <w:jc w:val="center"/>
      </w:pPr>
      <w:r>
        <w:rPr>
          <w:b/>
          <w:sz w:val="30"/>
          <w:szCs w:val="30"/>
        </w:rPr>
        <w:t>2014</w:t>
      </w:r>
      <w:r>
        <w:rPr>
          <w:rFonts w:hint="eastAsia"/>
          <w:b/>
          <w:sz w:val="30"/>
          <w:szCs w:val="30"/>
        </w:rPr>
        <w:t>年全国统一高考生物试卷（大纲版）</w:t>
      </w:r>
    </w:p>
    <w:p w:rsidR="00A91940" w:rsidP="00A91940" w14:paraId="5C15ECE7" w14:textId="77777777">
      <w:pPr>
        <w:spacing w:line="360" w:lineRule="auto"/>
        <w:ind w:left="312" w:hanging="312" w:hangingChars="130"/>
      </w:pPr>
      <w:r>
        <w:rPr>
          <w:rFonts w:hint="eastAsia"/>
          <w:b/>
          <w:sz w:val="24"/>
          <w:szCs w:val="24"/>
        </w:rPr>
        <w:t>一、解答题</w:t>
      </w:r>
    </w:p>
    <w:p w:rsidR="00A91940" w:rsidP="00A91940" w14:paraId="502E413E" w14:textId="77777777">
      <w:pPr>
        <w:spacing w:line="360" w:lineRule="auto"/>
        <w:ind w:left="312" w:hanging="312" w:hangingChars="130"/>
      </w:pPr>
      <w:r>
        <w:rPr>
          <w:sz w:val="24"/>
          <w:szCs w:val="24"/>
        </w:rPr>
        <w:t>1</w:t>
      </w:r>
      <w:r>
        <w:rPr>
          <w:rFonts w:hint="eastAsia"/>
          <w:sz w:val="24"/>
          <w:szCs w:val="24"/>
        </w:rPr>
        <w:t>．下列有关细胞核的叙述，错误的是（　　）</w:t>
      </w:r>
    </w:p>
    <w:p w:rsidR="00A91940" w:rsidP="00A91940" w14:paraId="1989D3DF" w14:textId="77777777">
      <w:pPr>
        <w:spacing w:line="360" w:lineRule="auto"/>
        <w:ind w:firstLine="312" w:firstLineChars="130"/>
        <w:jc w:val="left"/>
      </w:pPr>
      <w:r>
        <w:rPr>
          <w:sz w:val="24"/>
          <w:szCs w:val="24"/>
        </w:rPr>
        <w:t>A</w:t>
      </w:r>
      <w:r>
        <w:rPr>
          <w:rFonts w:hint="eastAsia"/>
          <w:sz w:val="24"/>
          <w:szCs w:val="24"/>
        </w:rPr>
        <w:t>．蛋白质是细胞核中染色质的组成成分</w:t>
      </w:r>
      <w:r>
        <w:tab/>
      </w:r>
    </w:p>
    <w:p w:rsidR="00A91940" w:rsidP="00A91940" w14:paraId="5791DE83" w14:textId="77777777">
      <w:pPr>
        <w:spacing w:line="360" w:lineRule="auto"/>
        <w:ind w:firstLine="312" w:firstLineChars="130"/>
        <w:jc w:val="left"/>
      </w:pPr>
      <w:r>
        <w:rPr>
          <w:sz w:val="24"/>
          <w:szCs w:val="24"/>
        </w:rPr>
        <w:t>B</w:t>
      </w:r>
      <w:r>
        <w:rPr>
          <w:rFonts w:hint="eastAsia"/>
          <w:sz w:val="24"/>
          <w:szCs w:val="24"/>
        </w:rPr>
        <w:t>．细胞核中可进行遗传物质的复制和转录</w:t>
      </w:r>
      <w:r>
        <w:tab/>
      </w:r>
    </w:p>
    <w:p w:rsidR="00A91940" w:rsidP="00A91940" w14:paraId="121232E4" w14:textId="77777777">
      <w:pPr>
        <w:spacing w:line="360" w:lineRule="auto"/>
        <w:ind w:firstLine="312" w:firstLineChars="130"/>
        <w:jc w:val="left"/>
      </w:pPr>
      <w:r>
        <w:rPr>
          <w:sz w:val="24"/>
          <w:szCs w:val="24"/>
        </w:rPr>
        <w:t>C</w:t>
      </w:r>
      <w:r>
        <w:rPr>
          <w:rFonts w:hint="eastAsia"/>
          <w:sz w:val="24"/>
          <w:szCs w:val="24"/>
        </w:rPr>
        <w:t>．小分子物质可以通过核孔，大分子物质不能</w:t>
      </w:r>
      <w:r>
        <w:tab/>
      </w:r>
    </w:p>
    <w:p w:rsidR="00A91940" w:rsidP="00A91940" w14:paraId="5F370C80" w14:textId="77777777">
      <w:pPr>
        <w:spacing w:line="360" w:lineRule="auto"/>
        <w:ind w:firstLine="312" w:firstLineChars="130"/>
        <w:jc w:val="left"/>
      </w:pPr>
      <w:r>
        <w:rPr>
          <w:sz w:val="24"/>
          <w:szCs w:val="24"/>
        </w:rPr>
        <w:t>D</w:t>
      </w:r>
      <w:r>
        <w:rPr>
          <w:rFonts w:hint="eastAsia"/>
          <w:sz w:val="24"/>
          <w:szCs w:val="24"/>
        </w:rPr>
        <w:t>．有丝分裂过程中存在核膜消失和重新形成的现象</w:t>
      </w:r>
      <w:r>
        <w:tab/>
      </w:r>
    </w:p>
    <w:p w:rsidR="00A91940" w:rsidP="00A91940" w14:paraId="5DE762C4" w14:textId="77777777">
      <w:pPr>
        <w:spacing w:line="360" w:lineRule="auto"/>
        <w:ind w:left="312" w:hanging="312" w:hangingChars="130"/>
      </w:pPr>
      <w:r>
        <w:rPr>
          <w:sz w:val="24"/>
          <w:szCs w:val="24"/>
        </w:rPr>
        <w:t>2</w:t>
      </w:r>
      <w:r>
        <w:rPr>
          <w:rFonts w:hint="eastAsia"/>
          <w:sz w:val="24"/>
          <w:szCs w:val="24"/>
        </w:rPr>
        <w:t>．</w:t>
      </w:r>
      <w:r>
        <w:rPr>
          <w:sz w:val="24"/>
          <w:szCs w:val="24"/>
        </w:rPr>
        <w:t>ATP</w:t>
      </w:r>
      <w:r>
        <w:rPr>
          <w:rFonts w:hint="eastAsia"/>
          <w:sz w:val="24"/>
          <w:szCs w:val="24"/>
        </w:rPr>
        <w:t>是细胞中重要的高能磷酸化合物，下列有关</w:t>
      </w:r>
      <w:r>
        <w:rPr>
          <w:sz w:val="24"/>
          <w:szCs w:val="24"/>
        </w:rPr>
        <w:t>ATP</w:t>
      </w:r>
      <w:r>
        <w:rPr>
          <w:rFonts w:hint="eastAsia"/>
          <w:sz w:val="24"/>
          <w:szCs w:val="24"/>
        </w:rPr>
        <w:t>的叙述，错误的是（　　）</w:t>
      </w:r>
    </w:p>
    <w:p w:rsidR="00A91940" w:rsidP="00A91940" w14:paraId="10C4D1FF" w14:textId="77777777">
      <w:pPr>
        <w:spacing w:line="360" w:lineRule="auto"/>
        <w:ind w:firstLine="312" w:firstLineChars="130"/>
        <w:jc w:val="left"/>
      </w:pPr>
      <w:r>
        <w:rPr>
          <w:sz w:val="24"/>
          <w:szCs w:val="24"/>
        </w:rPr>
        <w:t>A</w:t>
      </w:r>
      <w:r>
        <w:rPr>
          <w:rFonts w:hint="eastAsia"/>
          <w:sz w:val="24"/>
          <w:szCs w:val="24"/>
        </w:rPr>
        <w:t>．线粒体合成的</w:t>
      </w:r>
      <w:r>
        <w:rPr>
          <w:sz w:val="24"/>
          <w:szCs w:val="24"/>
        </w:rPr>
        <w:t>ATP</w:t>
      </w:r>
      <w:r>
        <w:rPr>
          <w:rFonts w:hint="eastAsia"/>
          <w:sz w:val="24"/>
          <w:szCs w:val="24"/>
        </w:rPr>
        <w:t>可在细胞核中发挥作用</w:t>
      </w:r>
      <w:r>
        <w:tab/>
      </w:r>
    </w:p>
    <w:p w:rsidR="00A91940" w:rsidP="00A91940" w14:paraId="69B8E07A" w14:textId="77777777">
      <w:pPr>
        <w:spacing w:line="360" w:lineRule="auto"/>
        <w:ind w:firstLine="312" w:firstLineChars="130"/>
        <w:jc w:val="left"/>
      </w:pPr>
      <w:r>
        <w:rPr>
          <w:sz w:val="24"/>
          <w:szCs w:val="24"/>
        </w:rPr>
        <w:t>B</w:t>
      </w:r>
      <w:r>
        <w:rPr>
          <w:rFonts w:hint="eastAsia"/>
          <w:sz w:val="24"/>
          <w:szCs w:val="24"/>
        </w:rPr>
        <w:t>．机体在运动时消耗</w:t>
      </w:r>
      <w:r>
        <w:rPr>
          <w:sz w:val="24"/>
          <w:szCs w:val="24"/>
        </w:rPr>
        <w:t>ATP</w:t>
      </w:r>
      <w:r>
        <w:rPr>
          <w:rFonts w:hint="eastAsia"/>
          <w:sz w:val="24"/>
          <w:szCs w:val="24"/>
        </w:rPr>
        <w:t>，睡眠时则不消耗</w:t>
      </w:r>
      <w:r>
        <w:rPr>
          <w:sz w:val="24"/>
          <w:szCs w:val="24"/>
        </w:rPr>
        <w:t>ATP</w:t>
      </w:r>
      <w:r>
        <w:tab/>
      </w:r>
    </w:p>
    <w:p w:rsidR="00A91940" w:rsidP="00A91940" w14:paraId="7488950A" w14:textId="77777777">
      <w:pPr>
        <w:spacing w:line="360" w:lineRule="auto"/>
        <w:ind w:firstLine="312" w:firstLineChars="130"/>
        <w:jc w:val="left"/>
      </w:pPr>
      <w:r>
        <w:rPr>
          <w:sz w:val="24"/>
          <w:szCs w:val="24"/>
        </w:rPr>
        <w:t>C</w:t>
      </w:r>
      <w:r>
        <w:rPr>
          <w:rFonts w:hint="eastAsia"/>
          <w:sz w:val="24"/>
          <w:szCs w:val="24"/>
        </w:rPr>
        <w:t>．在有氧与缺氧的条件下细胞质基质中都能形成</w:t>
      </w:r>
      <w:r>
        <w:rPr>
          <w:sz w:val="24"/>
          <w:szCs w:val="24"/>
        </w:rPr>
        <w:t>ATP</w:t>
      </w:r>
      <w:r>
        <w:tab/>
      </w:r>
    </w:p>
    <w:p w:rsidR="00A91940" w:rsidP="00A91940" w14:paraId="36CA8FFA" w14:textId="77777777">
      <w:pPr>
        <w:spacing w:line="360" w:lineRule="auto"/>
        <w:ind w:firstLine="312" w:firstLineChars="130"/>
        <w:jc w:val="left"/>
      </w:pPr>
      <w:r>
        <w:rPr>
          <w:sz w:val="24"/>
          <w:szCs w:val="24"/>
        </w:rPr>
        <w:t>D</w:t>
      </w:r>
      <w:r>
        <w:rPr>
          <w:rFonts w:hint="eastAsia"/>
          <w:sz w:val="24"/>
          <w:szCs w:val="24"/>
        </w:rPr>
        <w:t>．植物根细胞吸收矿质元素离子所需的</w:t>
      </w:r>
      <w:r>
        <w:rPr>
          <w:sz w:val="24"/>
          <w:szCs w:val="24"/>
        </w:rPr>
        <w:t>ATP</w:t>
      </w:r>
      <w:r>
        <w:rPr>
          <w:rFonts w:hint="eastAsia"/>
          <w:sz w:val="24"/>
          <w:szCs w:val="24"/>
        </w:rPr>
        <w:t>来源于呼吸作用</w:t>
      </w:r>
      <w:r>
        <w:tab/>
      </w:r>
    </w:p>
    <w:p w:rsidR="00A91940" w:rsidP="00A91940" w14:paraId="140240AA" w14:textId="77777777">
      <w:pPr>
        <w:spacing w:line="360" w:lineRule="auto"/>
        <w:ind w:left="312" w:hanging="312" w:hangingChars="130"/>
      </w:pPr>
      <w:r>
        <w:rPr>
          <w:sz w:val="24"/>
          <w:szCs w:val="24"/>
        </w:rPr>
        <w:t>3</w:t>
      </w:r>
      <w:r>
        <w:rPr>
          <w:rFonts w:hint="eastAsia"/>
          <w:sz w:val="24"/>
          <w:szCs w:val="24"/>
        </w:rPr>
        <w:t>．下列关于人体淋巴细胞的叙述，错误的是（　　）</w:t>
      </w:r>
    </w:p>
    <w:p w:rsidR="00A91940" w:rsidP="00A91940" w14:paraId="3577813E" w14:textId="77777777">
      <w:pPr>
        <w:spacing w:line="360" w:lineRule="auto"/>
        <w:ind w:firstLine="312" w:firstLineChars="130"/>
        <w:jc w:val="left"/>
      </w:pPr>
      <w:r>
        <w:rPr>
          <w:sz w:val="24"/>
          <w:szCs w:val="24"/>
        </w:rPr>
        <w:t>A</w:t>
      </w:r>
      <w:r>
        <w:rPr>
          <w:rFonts w:hint="eastAsia"/>
          <w:sz w:val="24"/>
          <w:szCs w:val="24"/>
        </w:rPr>
        <w:t>．在胸腺中发育成熟的</w:t>
      </w:r>
      <w:r>
        <w:rPr>
          <w:sz w:val="24"/>
          <w:szCs w:val="24"/>
        </w:rPr>
        <w:t>T</w:t>
      </w:r>
      <w:r>
        <w:rPr>
          <w:rFonts w:hint="eastAsia"/>
          <w:sz w:val="24"/>
          <w:szCs w:val="24"/>
        </w:rPr>
        <w:t>淋巴细胞可参与细胞免疫</w:t>
      </w:r>
      <w:r>
        <w:tab/>
      </w:r>
    </w:p>
    <w:p w:rsidR="00A91940" w:rsidP="00A91940" w14:paraId="44A5E5F0" w14:textId="77777777">
      <w:pPr>
        <w:spacing w:line="360" w:lineRule="auto"/>
        <w:ind w:firstLine="312" w:firstLineChars="130"/>
        <w:jc w:val="left"/>
      </w:pPr>
      <w:r>
        <w:rPr>
          <w:sz w:val="24"/>
          <w:szCs w:val="24"/>
        </w:rPr>
        <w:t>B</w:t>
      </w:r>
      <w:r>
        <w:rPr>
          <w:rFonts w:hint="eastAsia"/>
          <w:sz w:val="24"/>
          <w:szCs w:val="24"/>
        </w:rPr>
        <w:t>．效应</w:t>
      </w:r>
      <w:r>
        <w:rPr>
          <w:sz w:val="24"/>
          <w:szCs w:val="24"/>
        </w:rPr>
        <w:t>T</w:t>
      </w:r>
      <w:r>
        <w:rPr>
          <w:rFonts w:hint="eastAsia"/>
          <w:sz w:val="24"/>
          <w:szCs w:val="24"/>
        </w:rPr>
        <w:t>淋巴细胞可攻击被病原体感染的宿主细胞</w:t>
      </w:r>
      <w:r>
        <w:tab/>
      </w:r>
    </w:p>
    <w:p w:rsidR="00A91940" w:rsidP="00A91940" w14:paraId="2B730DCB" w14:textId="77777777">
      <w:pPr>
        <w:spacing w:line="360" w:lineRule="auto"/>
        <w:ind w:firstLine="312" w:firstLineChars="130"/>
        <w:jc w:val="left"/>
      </w:pPr>
      <w:r>
        <w:rPr>
          <w:sz w:val="24"/>
          <w:szCs w:val="24"/>
        </w:rPr>
        <w:t>C</w:t>
      </w:r>
      <w:r>
        <w:rPr>
          <w:rFonts w:hint="eastAsia"/>
          <w:sz w:val="24"/>
          <w:szCs w:val="24"/>
        </w:rPr>
        <w:t>．</w:t>
      </w:r>
      <w:r>
        <w:rPr>
          <w:sz w:val="24"/>
          <w:szCs w:val="24"/>
        </w:rPr>
        <w:t>T</w:t>
      </w:r>
      <w:r>
        <w:rPr>
          <w:rFonts w:hint="eastAsia"/>
          <w:sz w:val="24"/>
          <w:szCs w:val="24"/>
        </w:rPr>
        <w:t>淋巴细胞和</w:t>
      </w:r>
      <w:r>
        <w:rPr>
          <w:sz w:val="24"/>
          <w:szCs w:val="24"/>
        </w:rPr>
        <w:t>B</w:t>
      </w:r>
      <w:r>
        <w:rPr>
          <w:rFonts w:hint="eastAsia"/>
          <w:sz w:val="24"/>
          <w:szCs w:val="24"/>
        </w:rPr>
        <w:t>淋巴细胞都是由造血干细胞发育成的</w:t>
      </w:r>
      <w:r>
        <w:tab/>
      </w:r>
    </w:p>
    <w:p w:rsidR="00A91940" w:rsidP="00A91940" w14:paraId="77E4E3E8" w14:textId="77777777">
      <w:pPr>
        <w:spacing w:line="360" w:lineRule="auto"/>
        <w:ind w:firstLine="312" w:firstLineChars="130"/>
        <w:jc w:val="left"/>
      </w:pPr>
      <w:r>
        <w:rPr>
          <w:sz w:val="24"/>
          <w:szCs w:val="24"/>
        </w:rPr>
        <w:t>D</w:t>
      </w:r>
      <w:r>
        <w:rPr>
          <w:rFonts w:hint="eastAsia"/>
          <w:sz w:val="24"/>
          <w:szCs w:val="24"/>
        </w:rPr>
        <w:t>．</w:t>
      </w:r>
      <w:r>
        <w:rPr>
          <w:sz w:val="24"/>
          <w:szCs w:val="24"/>
        </w:rPr>
        <w:t>T</w:t>
      </w:r>
      <w:r>
        <w:rPr>
          <w:rFonts w:hint="eastAsia"/>
          <w:sz w:val="24"/>
          <w:szCs w:val="24"/>
        </w:rPr>
        <w:t>细胞释放的淋巴因子不能使受到抗原刺激的</w:t>
      </w:r>
      <w:r>
        <w:rPr>
          <w:sz w:val="24"/>
          <w:szCs w:val="24"/>
        </w:rPr>
        <w:t>B</w:t>
      </w:r>
      <w:r>
        <w:rPr>
          <w:rFonts w:hint="eastAsia"/>
          <w:sz w:val="24"/>
          <w:szCs w:val="24"/>
        </w:rPr>
        <w:t>细胞增殖</w:t>
      </w:r>
      <w:r>
        <w:tab/>
      </w:r>
    </w:p>
    <w:p w:rsidR="00A91940" w:rsidP="00A91940" w14:paraId="23084035" w14:textId="77777777">
      <w:pPr>
        <w:spacing w:line="360" w:lineRule="auto"/>
        <w:ind w:left="312" w:hanging="312" w:hangingChars="130"/>
      </w:pPr>
      <w:r>
        <w:rPr>
          <w:sz w:val="24"/>
          <w:szCs w:val="24"/>
        </w:rPr>
        <w:t>4</w:t>
      </w:r>
      <w:r>
        <w:rPr>
          <w:rFonts w:hint="eastAsia"/>
          <w:sz w:val="24"/>
          <w:szCs w:val="24"/>
        </w:rPr>
        <w:t>．某同学在</w:t>
      </w:r>
      <w:r>
        <w:rPr>
          <w:rFonts w:ascii="宋体" w:hAnsi="宋体" w:hint="eastAsia"/>
          <w:sz w:val="24"/>
          <w:szCs w:val="24"/>
        </w:rPr>
        <w:t>①</w:t>
      </w:r>
      <w:r>
        <w:rPr>
          <w:rFonts w:hint="eastAsia"/>
          <w:sz w:val="24"/>
          <w:szCs w:val="24"/>
        </w:rPr>
        <w:t>、</w:t>
      </w:r>
      <w:r>
        <w:rPr>
          <w:rFonts w:ascii="宋体" w:hAnsi="宋体" w:hint="eastAsia"/>
          <w:sz w:val="24"/>
          <w:szCs w:val="24"/>
        </w:rPr>
        <w:t>②</w:t>
      </w:r>
      <w:r>
        <w:rPr>
          <w:rFonts w:hint="eastAsia"/>
          <w:sz w:val="24"/>
          <w:szCs w:val="24"/>
        </w:rPr>
        <w:t>、</w:t>
      </w:r>
      <w:r>
        <w:rPr>
          <w:rFonts w:ascii="宋体" w:hAnsi="宋体" w:hint="eastAsia"/>
          <w:sz w:val="24"/>
          <w:szCs w:val="24"/>
        </w:rPr>
        <w:t>③</w:t>
      </w:r>
      <w:r>
        <w:rPr>
          <w:rFonts w:hint="eastAsia"/>
          <w:sz w:val="24"/>
          <w:szCs w:val="24"/>
        </w:rPr>
        <w:t>三种条件下培养大肠杆菌，这三种条件是：</w:t>
      </w:r>
    </w:p>
    <w:p w:rsidR="00A91940" w:rsidP="00A91940" w14:paraId="0E93EDB9" w14:textId="77777777">
      <w:pPr>
        <w:spacing w:line="360" w:lineRule="auto"/>
        <w:ind w:left="312" w:hanging="312" w:hangingChars="130"/>
      </w:pPr>
      <w:r>
        <w:rPr>
          <w:rFonts w:ascii="宋体" w:hAnsi="宋体" w:hint="eastAsia"/>
          <w:sz w:val="24"/>
          <w:szCs w:val="24"/>
        </w:rPr>
        <w:t>①</w:t>
      </w:r>
      <w:r>
        <w:rPr>
          <w:rFonts w:hint="eastAsia"/>
          <w:sz w:val="24"/>
          <w:szCs w:val="24"/>
        </w:rPr>
        <w:t>以葡萄糖为碳源的培养基，不断补充培养基，及时去除代谢产物</w:t>
      </w:r>
    </w:p>
    <w:p w:rsidR="00A91940" w:rsidP="00A91940" w14:paraId="5C139C16" w14:textId="77777777">
      <w:pPr>
        <w:spacing w:line="360" w:lineRule="auto"/>
        <w:ind w:left="312" w:hanging="312" w:hangingChars="130"/>
      </w:pPr>
      <w:r>
        <w:rPr>
          <w:rFonts w:ascii="宋体" w:hAnsi="宋体" w:hint="eastAsia"/>
          <w:sz w:val="24"/>
          <w:szCs w:val="24"/>
        </w:rPr>
        <w:t>②</w:t>
      </w:r>
      <w:r>
        <w:rPr>
          <w:rFonts w:hint="eastAsia"/>
          <w:sz w:val="24"/>
          <w:szCs w:val="24"/>
        </w:rPr>
        <w:t>以葡萄糖为碳源的培养基，不补充培养基，不去除代谢产物</w:t>
      </w:r>
    </w:p>
    <w:p w:rsidR="00A91940" w:rsidP="00A91940" w14:paraId="7757D593" w14:textId="77777777">
      <w:pPr>
        <w:spacing w:line="360" w:lineRule="auto"/>
        <w:ind w:left="312" w:hanging="312" w:hangingChars="130"/>
      </w:pPr>
      <w:r>
        <w:rPr>
          <w:rFonts w:ascii="宋体" w:hAnsi="宋体" w:hint="eastAsia"/>
          <w:sz w:val="24"/>
          <w:szCs w:val="24"/>
        </w:rPr>
        <w:t>③</w:t>
      </w:r>
      <w:r>
        <w:rPr>
          <w:rFonts w:hint="eastAsia"/>
          <w:sz w:val="24"/>
          <w:szCs w:val="24"/>
        </w:rPr>
        <w:t>以葡萄糖和乳糖为碳源的培养基，不补充培养基，不去除代谢产物</w:t>
      </w:r>
    </w:p>
    <w:p w:rsidR="00A91940" w:rsidP="00A91940" w14:paraId="7FA96395" w14:textId="77777777">
      <w:pPr>
        <w:spacing w:line="360" w:lineRule="auto"/>
        <w:ind w:left="312" w:hanging="312" w:hangingChars="130"/>
      </w:pPr>
      <w:r>
        <w:rPr>
          <w:rFonts w:hint="eastAsia"/>
          <w:sz w:val="24"/>
          <w:szCs w:val="24"/>
        </w:rPr>
        <w:t>根据培养结果绘制的一段时间内菌体数的对数随时间变化的趋势图如下：</w:t>
      </w:r>
    </w:p>
    <w:p w:rsidR="00A91940" w:rsidP="00A91940" w14:paraId="205E3CA6" w14:textId="7980B2D2">
      <w:pPr>
        <w:spacing w:line="360" w:lineRule="auto"/>
        <w:ind w:left="312" w:hanging="312" w:hangingChars="130"/>
      </w:pPr>
      <w:r>
        <w:rPr>
          <w:noProof/>
          <w:sz w:val="24"/>
          <w:szCs w:val="24"/>
        </w:rPr>
        <w:drawing>
          <wp:inline distT="0" distB="0" distL="0" distR="0">
            <wp:extent cx="5153025" cy="1533525"/>
            <wp:effectExtent l="0" t="0" r="9525" b="9525"/>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153025" cy="1533525"/>
                    </a:xfrm>
                    <a:prstGeom prst="rect">
                      <a:avLst/>
                    </a:prstGeom>
                    <a:noFill/>
                    <a:ln>
                      <a:noFill/>
                    </a:ln>
                  </pic:spPr>
                </pic:pic>
              </a:graphicData>
            </a:graphic>
          </wp:inline>
        </w:drawing>
      </w:r>
    </w:p>
    <w:p w:rsidR="00A91940" w:rsidP="00A91940" w14:paraId="5A4966F9" w14:textId="77777777">
      <w:pPr>
        <w:spacing w:line="360" w:lineRule="auto"/>
        <w:ind w:left="312" w:hanging="312" w:hangingChars="130"/>
      </w:pPr>
      <w:r>
        <w:rPr>
          <w:rFonts w:hint="eastAsia"/>
          <w:sz w:val="24"/>
          <w:szCs w:val="24"/>
        </w:rPr>
        <w:t>假设三种培养基中初始总糖量相等，则</w:t>
      </w:r>
      <w:r>
        <w:rPr>
          <w:rFonts w:ascii="宋体" w:hAnsi="宋体" w:hint="eastAsia"/>
          <w:sz w:val="24"/>
          <w:szCs w:val="24"/>
        </w:rPr>
        <w:t>①②③</w:t>
      </w:r>
      <w:r>
        <w:rPr>
          <w:rFonts w:hint="eastAsia"/>
          <w:sz w:val="24"/>
          <w:szCs w:val="24"/>
        </w:rPr>
        <w:t>三种条件依次对应的趋势图是（　　）</w:t>
      </w:r>
    </w:p>
    <w:p w:rsidR="00A91940" w:rsidP="00A91940" w14:paraId="4D0040EA"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．甲、乙、丙</w:t>
      </w:r>
      <w:r>
        <w:tab/>
      </w:r>
      <w:r>
        <w:rPr>
          <w:sz w:val="24"/>
          <w:szCs w:val="24"/>
        </w:rPr>
        <w:t>B</w:t>
      </w:r>
      <w:r>
        <w:rPr>
          <w:rFonts w:hint="eastAsia"/>
          <w:sz w:val="24"/>
          <w:szCs w:val="24"/>
        </w:rPr>
        <w:t>．乙、丙、甲</w:t>
      </w:r>
      <w:r>
        <w:tab/>
      </w:r>
      <w:r>
        <w:rPr>
          <w:sz w:val="24"/>
          <w:szCs w:val="24"/>
        </w:rPr>
        <w:t>C</w:t>
      </w:r>
      <w:r>
        <w:rPr>
          <w:rFonts w:hint="eastAsia"/>
          <w:sz w:val="24"/>
          <w:szCs w:val="24"/>
        </w:rPr>
        <w:t>．丙、甲、乙</w:t>
      </w:r>
      <w:r>
        <w:tab/>
      </w:r>
      <w:r>
        <w:rPr>
          <w:sz w:val="24"/>
          <w:szCs w:val="24"/>
        </w:rPr>
        <w:t>D</w:t>
      </w:r>
      <w:r>
        <w:rPr>
          <w:rFonts w:hint="eastAsia"/>
          <w:sz w:val="24"/>
          <w:szCs w:val="24"/>
        </w:rPr>
        <w:t>．丙、乙、甲</w:t>
      </w:r>
    </w:p>
    <w:p w:rsidR="00A91940" w:rsidP="00A91940" w14:paraId="1DC71E69" w14:textId="77777777">
      <w:pPr>
        <w:spacing w:line="360" w:lineRule="auto"/>
        <w:ind w:left="312" w:hanging="312" w:hangingChars="130"/>
      </w:pPr>
      <w:r>
        <w:rPr>
          <w:sz w:val="24"/>
          <w:szCs w:val="24"/>
        </w:rPr>
        <w:t>5</w:t>
      </w:r>
      <w:r>
        <w:rPr>
          <w:rFonts w:hint="eastAsia"/>
          <w:sz w:val="24"/>
          <w:szCs w:val="24"/>
        </w:rPr>
        <w:t>．为验证单侧光照射会导致燕麦胚芽鞘中生长素分布不均匀这一结论，需要先利用琼脂块收集生长素，之后再测定其含量．假定在单侧光照射下生长素的不均匀分布只与运输有关．下列收集生长素的方法（如图所示）中，正确的是（　　）</w:t>
      </w:r>
    </w:p>
    <w:p w:rsidR="00A91940" w:rsidP="00A91940" w14:paraId="7AE66DF8" w14:textId="77A9EFB4">
      <w:pPr>
        <w:spacing w:line="360" w:lineRule="auto"/>
        <w:ind w:left="312" w:hanging="312" w:hangingChars="130"/>
      </w:pPr>
      <w:r>
        <w:rPr>
          <w:noProof/>
          <w:sz w:val="24"/>
          <w:szCs w:val="24"/>
        </w:rPr>
        <w:drawing>
          <wp:inline distT="0" distB="0" distL="0" distR="0">
            <wp:extent cx="5200650" cy="838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00650" cy="838200"/>
                    </a:xfrm>
                    <a:prstGeom prst="rect">
                      <a:avLst/>
                    </a:prstGeom>
                    <a:noFill/>
                    <a:ln>
                      <a:noFill/>
                    </a:ln>
                  </pic:spPr>
                </pic:pic>
              </a:graphicData>
            </a:graphic>
          </wp:inline>
        </w:drawing>
      </w:r>
    </w:p>
    <w:p w:rsidR="00A91940" w:rsidP="00A91940" w14:paraId="7515BC66"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A</w:t>
      </w:r>
      <w:r>
        <w:tab/>
      </w:r>
      <w:r>
        <w:rPr>
          <w:sz w:val="24"/>
          <w:szCs w:val="24"/>
        </w:rPr>
        <w:t>B</w:t>
      </w:r>
      <w:r>
        <w:rPr>
          <w:rFonts w:hint="eastAsia"/>
          <w:sz w:val="24"/>
          <w:szCs w:val="24"/>
        </w:rPr>
        <w:t>．</w:t>
      </w:r>
      <w:r>
        <w:rPr>
          <w:sz w:val="24"/>
          <w:szCs w:val="24"/>
        </w:rPr>
        <w:t>B</w:t>
      </w:r>
      <w:r>
        <w:tab/>
      </w:r>
      <w:r>
        <w:rPr>
          <w:sz w:val="24"/>
          <w:szCs w:val="24"/>
        </w:rPr>
        <w:t>C</w:t>
      </w:r>
      <w:r>
        <w:rPr>
          <w:rFonts w:hint="eastAsia"/>
          <w:sz w:val="24"/>
          <w:szCs w:val="24"/>
        </w:rPr>
        <w:t>．</w:t>
      </w:r>
      <w:r>
        <w:rPr>
          <w:sz w:val="24"/>
          <w:szCs w:val="24"/>
        </w:rPr>
        <w:t>C</w:t>
      </w:r>
      <w:r>
        <w:tab/>
      </w:r>
      <w:r>
        <w:rPr>
          <w:sz w:val="24"/>
          <w:szCs w:val="24"/>
        </w:rPr>
        <w:t>D</w:t>
      </w:r>
      <w:r>
        <w:rPr>
          <w:rFonts w:hint="eastAsia"/>
          <w:sz w:val="24"/>
          <w:szCs w:val="24"/>
        </w:rPr>
        <w:t>．</w:t>
      </w:r>
      <w:r>
        <w:rPr>
          <w:sz w:val="24"/>
          <w:szCs w:val="24"/>
        </w:rPr>
        <w:t>D</w:t>
      </w:r>
      <w:r>
        <w:tab/>
      </w:r>
    </w:p>
    <w:p w:rsidR="00A91940" w:rsidP="00A91940" w14:paraId="5DE99841" w14:textId="77777777">
      <w:pPr>
        <w:spacing w:line="360" w:lineRule="auto"/>
        <w:ind w:left="312" w:hanging="312" w:hangingChars="130"/>
      </w:pPr>
      <w:r>
        <w:rPr>
          <w:sz w:val="24"/>
          <w:szCs w:val="24"/>
        </w:rPr>
        <w:t>6</w:t>
      </w:r>
      <w:r>
        <w:rPr>
          <w:rFonts w:hint="eastAsia"/>
          <w:sz w:val="24"/>
          <w:szCs w:val="24"/>
        </w:rPr>
        <w:t>．小肠的吸收是指食物消化后的产物，水和无机盐等通过小肠上皮细胞进入血液和淋巴的过程．</w:t>
      </w:r>
      <w:r>
        <w:rPr>
          <w:sz w:val="24"/>
          <w:szCs w:val="24"/>
        </w:rPr>
        <w:t>0.9%</w:t>
      </w:r>
      <w:r>
        <w:rPr>
          <w:rFonts w:hint="eastAsia"/>
          <w:sz w:val="24"/>
          <w:szCs w:val="24"/>
        </w:rPr>
        <w:t>的</w:t>
      </w:r>
      <w:r>
        <w:rPr>
          <w:sz w:val="24"/>
          <w:szCs w:val="24"/>
        </w:rPr>
        <w:t>NaCl</w:t>
      </w:r>
      <w:r>
        <w:rPr>
          <w:rFonts w:hint="eastAsia"/>
          <w:sz w:val="24"/>
          <w:szCs w:val="24"/>
        </w:rPr>
        <w:t>溶液时与兔的体液渗透压相等的生理盐水，某同学处于麻醉状态下的兔的一段排空小肠结扎成甲，乙，丙，丁</w:t>
      </w:r>
      <w:r>
        <w:rPr>
          <w:sz w:val="24"/>
          <w:szCs w:val="24"/>
        </w:rPr>
        <w:t>4</w:t>
      </w:r>
      <w:r>
        <w:rPr>
          <w:rFonts w:hint="eastAsia"/>
          <w:sz w:val="24"/>
          <w:szCs w:val="24"/>
        </w:rPr>
        <w:t>个互不相通，长度相等的肠袋（血液循环正常），并进行实验，实验步骤和实验结果如表．</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2905"/>
        <w:gridCol w:w="1176"/>
        <w:gridCol w:w="1104"/>
        <w:gridCol w:w="1180"/>
        <w:gridCol w:w="2001"/>
      </w:tblGrid>
      <w:tr w14:paraId="47D684C7"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2905" w:type="dxa"/>
            <w:tcBorders>
              <w:top w:val="single" w:sz="2" w:space="0" w:color="000000"/>
              <w:left w:val="single" w:sz="2" w:space="0" w:color="000000"/>
              <w:bottom w:val="single" w:sz="2" w:space="0" w:color="000000"/>
              <w:right w:val="single" w:sz="2" w:space="0" w:color="000000"/>
            </w:tcBorders>
          </w:tcPr>
          <w:p w:rsidR="00A91940" w14:paraId="6582D18C" w14:textId="77777777">
            <w:pPr>
              <w:spacing w:line="360" w:lineRule="auto"/>
              <w:ind w:left="273" w:hanging="273" w:hangingChars="130"/>
              <w:jc w:val="center"/>
            </w:pPr>
          </w:p>
        </w:tc>
        <w:tc>
          <w:tcPr>
            <w:tcW w:w="1176" w:type="dxa"/>
            <w:tcBorders>
              <w:top w:val="single" w:sz="2" w:space="0" w:color="000000"/>
              <w:left w:val="single" w:sz="2" w:space="0" w:color="000000"/>
              <w:bottom w:val="single" w:sz="2" w:space="0" w:color="000000"/>
              <w:right w:val="single" w:sz="2" w:space="0" w:color="000000"/>
            </w:tcBorders>
            <w:hideMark/>
          </w:tcPr>
          <w:p w:rsidR="00A91940" w14:paraId="66ADE330" w14:textId="77777777">
            <w:pPr>
              <w:spacing w:line="360" w:lineRule="auto"/>
              <w:ind w:left="312" w:hanging="312" w:hangingChars="130"/>
              <w:jc w:val="center"/>
            </w:pPr>
            <w:r>
              <w:rPr>
                <w:rFonts w:hint="eastAsia"/>
                <w:sz w:val="24"/>
                <w:szCs w:val="24"/>
              </w:rPr>
              <w:t>甲</w:t>
            </w:r>
          </w:p>
        </w:tc>
        <w:tc>
          <w:tcPr>
            <w:tcW w:w="1104" w:type="dxa"/>
            <w:tcBorders>
              <w:top w:val="single" w:sz="2" w:space="0" w:color="000000"/>
              <w:left w:val="single" w:sz="2" w:space="0" w:color="000000"/>
              <w:bottom w:val="single" w:sz="2" w:space="0" w:color="000000"/>
              <w:right w:val="single" w:sz="2" w:space="0" w:color="000000"/>
            </w:tcBorders>
            <w:hideMark/>
          </w:tcPr>
          <w:p w:rsidR="00A91940" w14:paraId="37F1A7E4" w14:textId="77777777">
            <w:pPr>
              <w:spacing w:line="360" w:lineRule="auto"/>
              <w:ind w:left="312" w:hanging="312" w:hangingChars="130"/>
              <w:jc w:val="center"/>
            </w:pPr>
            <w:r>
              <w:rPr>
                <w:rFonts w:hint="eastAsia"/>
                <w:sz w:val="24"/>
                <w:szCs w:val="24"/>
              </w:rPr>
              <w:t>乙</w:t>
            </w:r>
          </w:p>
        </w:tc>
        <w:tc>
          <w:tcPr>
            <w:tcW w:w="1180" w:type="dxa"/>
            <w:tcBorders>
              <w:top w:val="single" w:sz="2" w:space="0" w:color="000000"/>
              <w:left w:val="single" w:sz="2" w:space="0" w:color="000000"/>
              <w:bottom w:val="single" w:sz="2" w:space="0" w:color="000000"/>
              <w:right w:val="single" w:sz="2" w:space="0" w:color="000000"/>
            </w:tcBorders>
            <w:hideMark/>
          </w:tcPr>
          <w:p w:rsidR="00A91940" w14:paraId="4CC2AE8B" w14:textId="77777777">
            <w:pPr>
              <w:spacing w:line="360" w:lineRule="auto"/>
              <w:ind w:left="312" w:hanging="312" w:hangingChars="130"/>
              <w:jc w:val="center"/>
            </w:pPr>
            <w:r>
              <w:rPr>
                <w:rFonts w:hint="eastAsia"/>
                <w:sz w:val="24"/>
                <w:szCs w:val="24"/>
              </w:rPr>
              <w:t>丙</w:t>
            </w:r>
          </w:p>
        </w:tc>
        <w:tc>
          <w:tcPr>
            <w:tcW w:w="2001" w:type="dxa"/>
            <w:tcBorders>
              <w:top w:val="single" w:sz="2" w:space="0" w:color="000000"/>
              <w:left w:val="single" w:sz="2" w:space="0" w:color="000000"/>
              <w:bottom w:val="single" w:sz="2" w:space="0" w:color="000000"/>
              <w:right w:val="single" w:sz="2" w:space="0" w:color="000000"/>
            </w:tcBorders>
            <w:hideMark/>
          </w:tcPr>
          <w:p w:rsidR="00A91940" w14:paraId="63AEE6BB" w14:textId="77777777">
            <w:pPr>
              <w:spacing w:line="360" w:lineRule="auto"/>
              <w:ind w:left="312" w:hanging="312" w:hangingChars="130"/>
              <w:jc w:val="center"/>
            </w:pPr>
            <w:r>
              <w:rPr>
                <w:rFonts w:hint="eastAsia"/>
                <w:sz w:val="24"/>
                <w:szCs w:val="24"/>
              </w:rPr>
              <w:t>丁</w:t>
            </w:r>
          </w:p>
        </w:tc>
      </w:tr>
      <w:tr w14:paraId="42D9630B" w14:textId="77777777">
        <w:tblPrEx>
          <w:tblW w:w="0" w:type="auto"/>
          <w:tblLayout w:type="fixed"/>
          <w:tblCellMar>
            <w:top w:w="30" w:type="dxa"/>
            <w:left w:w="30" w:type="dxa"/>
            <w:bottom w:w="30" w:type="dxa"/>
            <w:right w:w="30" w:type="dxa"/>
          </w:tblCellMar>
          <w:tblLook w:val="04A0"/>
        </w:tblPrEx>
        <w:tc>
          <w:tcPr>
            <w:tcW w:w="2905" w:type="dxa"/>
            <w:tcBorders>
              <w:top w:val="single" w:sz="2" w:space="0" w:color="000000"/>
              <w:left w:val="single" w:sz="2" w:space="0" w:color="000000"/>
              <w:bottom w:val="single" w:sz="2" w:space="0" w:color="000000"/>
              <w:right w:val="single" w:sz="2" w:space="0" w:color="000000"/>
            </w:tcBorders>
            <w:hideMark/>
          </w:tcPr>
          <w:p w:rsidR="00A91940" w14:paraId="0BB08EE7" w14:textId="77777777">
            <w:pPr>
              <w:spacing w:line="360" w:lineRule="auto"/>
              <w:ind w:left="312" w:hanging="312" w:hangingChars="130"/>
              <w:jc w:val="center"/>
            </w:pPr>
            <w:r>
              <w:rPr>
                <w:rFonts w:hint="eastAsia"/>
                <w:sz w:val="24"/>
                <w:szCs w:val="24"/>
              </w:rPr>
              <w:t>向肠袋内注入等量的溶液，使其充盈</w:t>
            </w:r>
          </w:p>
        </w:tc>
        <w:tc>
          <w:tcPr>
            <w:tcW w:w="1176" w:type="dxa"/>
            <w:tcBorders>
              <w:top w:val="single" w:sz="2" w:space="0" w:color="000000"/>
              <w:left w:val="single" w:sz="2" w:space="0" w:color="000000"/>
              <w:bottom w:val="single" w:sz="2" w:space="0" w:color="000000"/>
              <w:right w:val="single" w:sz="2" w:space="0" w:color="000000"/>
            </w:tcBorders>
            <w:hideMark/>
          </w:tcPr>
          <w:p w:rsidR="00A91940" w14:paraId="0F66E7C6" w14:textId="77777777">
            <w:pPr>
              <w:spacing w:line="360" w:lineRule="auto"/>
              <w:ind w:left="312" w:hanging="312" w:hangingChars="130"/>
              <w:jc w:val="center"/>
            </w:pPr>
            <w:r>
              <w:rPr>
                <w:sz w:val="24"/>
                <w:szCs w:val="24"/>
              </w:rPr>
              <w:t>0.7%NaCl</w:t>
            </w:r>
          </w:p>
          <w:p w:rsidR="00A91940" w14:paraId="79D63EB7" w14:textId="77777777">
            <w:pPr>
              <w:spacing w:line="360" w:lineRule="auto"/>
              <w:ind w:left="312" w:hanging="312" w:hangingChars="130"/>
              <w:jc w:val="center"/>
            </w:pPr>
            <w:r>
              <w:rPr>
                <w:sz w:val="24"/>
                <w:szCs w:val="24"/>
              </w:rPr>
              <w:t>10mL</w:t>
            </w:r>
          </w:p>
        </w:tc>
        <w:tc>
          <w:tcPr>
            <w:tcW w:w="1104" w:type="dxa"/>
            <w:tcBorders>
              <w:top w:val="single" w:sz="2" w:space="0" w:color="000000"/>
              <w:left w:val="single" w:sz="2" w:space="0" w:color="000000"/>
              <w:bottom w:val="single" w:sz="2" w:space="0" w:color="000000"/>
              <w:right w:val="single" w:sz="2" w:space="0" w:color="000000"/>
            </w:tcBorders>
            <w:hideMark/>
          </w:tcPr>
          <w:p w:rsidR="00A91940" w14:paraId="2B30DDA1" w14:textId="77777777">
            <w:pPr>
              <w:spacing w:line="360" w:lineRule="auto"/>
              <w:ind w:left="312" w:hanging="312" w:hangingChars="130"/>
              <w:jc w:val="center"/>
            </w:pPr>
            <w:r>
              <w:rPr>
                <w:sz w:val="24"/>
                <w:szCs w:val="24"/>
              </w:rPr>
              <w:t>0.9%NaCl</w:t>
            </w:r>
          </w:p>
          <w:p w:rsidR="00A91940" w14:paraId="0CB339BD" w14:textId="77777777">
            <w:pPr>
              <w:spacing w:line="360" w:lineRule="auto"/>
              <w:ind w:left="312" w:hanging="312" w:hangingChars="130"/>
              <w:jc w:val="center"/>
            </w:pPr>
            <w:r>
              <w:rPr>
                <w:sz w:val="24"/>
                <w:szCs w:val="24"/>
              </w:rPr>
              <w:t>10mL</w:t>
            </w:r>
          </w:p>
        </w:tc>
        <w:tc>
          <w:tcPr>
            <w:tcW w:w="1180" w:type="dxa"/>
            <w:tcBorders>
              <w:top w:val="single" w:sz="2" w:space="0" w:color="000000"/>
              <w:left w:val="single" w:sz="2" w:space="0" w:color="000000"/>
              <w:bottom w:val="single" w:sz="2" w:space="0" w:color="000000"/>
              <w:right w:val="single" w:sz="2" w:space="0" w:color="000000"/>
            </w:tcBorders>
            <w:hideMark/>
          </w:tcPr>
          <w:p w:rsidR="00A91940" w14:paraId="52BACFBE" w14:textId="77777777">
            <w:pPr>
              <w:spacing w:line="360" w:lineRule="auto"/>
              <w:ind w:left="312" w:hanging="312" w:hangingChars="130"/>
              <w:jc w:val="center"/>
            </w:pPr>
            <w:r>
              <w:rPr>
                <w:sz w:val="24"/>
                <w:szCs w:val="24"/>
              </w:rPr>
              <w:t>1.1%NaCl</w:t>
            </w:r>
          </w:p>
          <w:p w:rsidR="00A91940" w14:paraId="63C07BD2" w14:textId="77777777">
            <w:pPr>
              <w:spacing w:line="360" w:lineRule="auto"/>
              <w:ind w:left="312" w:hanging="312" w:hangingChars="130"/>
              <w:jc w:val="center"/>
            </w:pPr>
            <w:r>
              <w:rPr>
                <w:sz w:val="24"/>
                <w:szCs w:val="24"/>
              </w:rPr>
              <w:t>10mL</w:t>
            </w:r>
          </w:p>
        </w:tc>
        <w:tc>
          <w:tcPr>
            <w:tcW w:w="2001" w:type="dxa"/>
            <w:tcBorders>
              <w:top w:val="single" w:sz="2" w:space="0" w:color="000000"/>
              <w:left w:val="single" w:sz="2" w:space="0" w:color="000000"/>
              <w:bottom w:val="single" w:sz="2" w:space="0" w:color="000000"/>
              <w:right w:val="single" w:sz="2" w:space="0" w:color="000000"/>
            </w:tcBorders>
            <w:hideMark/>
          </w:tcPr>
          <w:p w:rsidR="00A91940" w14:paraId="6A5B1249" w14:textId="77777777">
            <w:pPr>
              <w:spacing w:line="360" w:lineRule="auto"/>
              <w:ind w:left="312" w:hanging="312" w:hangingChars="130"/>
              <w:jc w:val="center"/>
            </w:pPr>
            <w:r>
              <w:rPr>
                <w:sz w:val="24"/>
                <w:szCs w:val="24"/>
              </w:rPr>
              <w:t>0.9%NaCl</w:t>
            </w:r>
            <w:r>
              <w:rPr>
                <w:rFonts w:ascii="宋体" w:hAnsi="宋体" w:hint="eastAsia"/>
                <w:sz w:val="24"/>
                <w:szCs w:val="24"/>
              </w:rPr>
              <w:t>+</w:t>
            </w:r>
            <w:r>
              <w:rPr>
                <w:rFonts w:hint="eastAsia"/>
                <w:sz w:val="24"/>
                <w:szCs w:val="24"/>
              </w:rPr>
              <w:t>微量</w:t>
            </w:r>
            <w:r>
              <w:rPr>
                <w:sz w:val="24"/>
                <w:szCs w:val="24"/>
              </w:rPr>
              <w:t>Na</w:t>
            </w:r>
            <w:r>
              <w:rPr>
                <w:rFonts w:ascii="宋体" w:hAnsi="宋体" w:hint="eastAsia"/>
                <w:sz w:val="24"/>
                <w:szCs w:val="24"/>
                <w:vertAlign w:val="superscript"/>
              </w:rPr>
              <w:t>+</w:t>
            </w:r>
            <w:r>
              <w:rPr>
                <w:rFonts w:hint="eastAsia"/>
                <w:sz w:val="24"/>
                <w:szCs w:val="24"/>
              </w:rPr>
              <w:t>载体蛋白的抑制剂共</w:t>
            </w:r>
            <w:r>
              <w:rPr>
                <w:sz w:val="24"/>
                <w:szCs w:val="24"/>
              </w:rPr>
              <w:t>10mL</w:t>
            </w:r>
          </w:p>
        </w:tc>
      </w:tr>
      <w:tr w14:paraId="27462381" w14:textId="77777777">
        <w:tblPrEx>
          <w:tblW w:w="0" w:type="auto"/>
          <w:tblLayout w:type="fixed"/>
          <w:tblCellMar>
            <w:top w:w="30" w:type="dxa"/>
            <w:left w:w="30" w:type="dxa"/>
            <w:bottom w:w="30" w:type="dxa"/>
            <w:right w:w="30" w:type="dxa"/>
          </w:tblCellMar>
          <w:tblLook w:val="04A0"/>
        </w:tblPrEx>
        <w:tc>
          <w:tcPr>
            <w:tcW w:w="2905" w:type="dxa"/>
            <w:tcBorders>
              <w:top w:val="single" w:sz="2" w:space="0" w:color="000000"/>
              <w:left w:val="single" w:sz="2" w:space="0" w:color="000000"/>
              <w:bottom w:val="single" w:sz="2" w:space="0" w:color="000000"/>
              <w:right w:val="single" w:sz="2" w:space="0" w:color="000000"/>
            </w:tcBorders>
            <w:hideMark/>
          </w:tcPr>
          <w:p w:rsidR="00A91940" w14:paraId="28B985BF" w14:textId="77777777">
            <w:pPr>
              <w:spacing w:line="360" w:lineRule="auto"/>
              <w:ind w:left="312" w:hanging="312" w:hangingChars="130"/>
              <w:jc w:val="center"/>
            </w:pPr>
            <w:r>
              <w:rPr>
                <w:rFonts w:hint="eastAsia"/>
                <w:sz w:val="24"/>
                <w:szCs w:val="24"/>
              </w:rPr>
              <w:t>维持正常体温半小时后，测肠袋内</w:t>
            </w:r>
            <w:r>
              <w:rPr>
                <w:sz w:val="24"/>
                <w:szCs w:val="24"/>
              </w:rPr>
              <w:t>NaCl</w:t>
            </w:r>
            <w:r>
              <w:rPr>
                <w:rFonts w:hint="eastAsia"/>
                <w:sz w:val="24"/>
                <w:szCs w:val="24"/>
              </w:rPr>
              <w:t>溶液的量</w:t>
            </w:r>
          </w:p>
        </w:tc>
        <w:tc>
          <w:tcPr>
            <w:tcW w:w="1176" w:type="dxa"/>
            <w:tcBorders>
              <w:top w:val="single" w:sz="2" w:space="0" w:color="000000"/>
              <w:left w:val="single" w:sz="2" w:space="0" w:color="000000"/>
              <w:bottom w:val="single" w:sz="2" w:space="0" w:color="000000"/>
              <w:right w:val="single" w:sz="2" w:space="0" w:color="000000"/>
            </w:tcBorders>
            <w:hideMark/>
          </w:tcPr>
          <w:p w:rsidR="00A91940" w14:paraId="704CC7AD" w14:textId="77777777">
            <w:pPr>
              <w:spacing w:line="360" w:lineRule="auto"/>
              <w:ind w:left="312" w:hanging="312" w:hangingChars="130"/>
              <w:jc w:val="center"/>
            </w:pPr>
            <w:r>
              <w:rPr>
                <w:sz w:val="24"/>
                <w:szCs w:val="24"/>
              </w:rPr>
              <w:t>1mL</w:t>
            </w:r>
          </w:p>
        </w:tc>
        <w:tc>
          <w:tcPr>
            <w:tcW w:w="1104" w:type="dxa"/>
            <w:tcBorders>
              <w:top w:val="single" w:sz="2" w:space="0" w:color="000000"/>
              <w:left w:val="single" w:sz="2" w:space="0" w:color="000000"/>
              <w:bottom w:val="single" w:sz="2" w:space="0" w:color="000000"/>
              <w:right w:val="single" w:sz="2" w:space="0" w:color="000000"/>
            </w:tcBorders>
            <w:hideMark/>
          </w:tcPr>
          <w:p w:rsidR="00A91940" w14:paraId="4C952924" w14:textId="77777777">
            <w:pPr>
              <w:spacing w:line="360" w:lineRule="auto"/>
              <w:ind w:left="312" w:hanging="312" w:hangingChars="130"/>
              <w:jc w:val="center"/>
            </w:pPr>
            <w:r>
              <w:rPr>
                <w:sz w:val="24"/>
                <w:szCs w:val="24"/>
              </w:rPr>
              <w:t>3mL</w:t>
            </w:r>
          </w:p>
        </w:tc>
        <w:tc>
          <w:tcPr>
            <w:tcW w:w="1180" w:type="dxa"/>
            <w:tcBorders>
              <w:top w:val="single" w:sz="2" w:space="0" w:color="000000"/>
              <w:left w:val="single" w:sz="2" w:space="0" w:color="000000"/>
              <w:bottom w:val="single" w:sz="2" w:space="0" w:color="000000"/>
              <w:right w:val="single" w:sz="2" w:space="0" w:color="000000"/>
            </w:tcBorders>
            <w:hideMark/>
          </w:tcPr>
          <w:p w:rsidR="00A91940" w14:paraId="11581622" w14:textId="77777777">
            <w:pPr>
              <w:spacing w:line="360" w:lineRule="auto"/>
              <w:ind w:left="312" w:hanging="312" w:hangingChars="130"/>
              <w:jc w:val="center"/>
            </w:pPr>
            <w:r>
              <w:rPr>
                <w:sz w:val="24"/>
                <w:szCs w:val="24"/>
              </w:rPr>
              <w:t>5mL</w:t>
            </w:r>
          </w:p>
        </w:tc>
        <w:tc>
          <w:tcPr>
            <w:tcW w:w="2001" w:type="dxa"/>
            <w:tcBorders>
              <w:top w:val="single" w:sz="2" w:space="0" w:color="000000"/>
              <w:left w:val="single" w:sz="2" w:space="0" w:color="000000"/>
              <w:bottom w:val="single" w:sz="2" w:space="0" w:color="000000"/>
              <w:right w:val="single" w:sz="2" w:space="0" w:color="000000"/>
            </w:tcBorders>
            <w:hideMark/>
          </w:tcPr>
          <w:p w:rsidR="00A91940" w14:paraId="7B55D7D6" w14:textId="77777777">
            <w:pPr>
              <w:spacing w:line="360" w:lineRule="auto"/>
              <w:ind w:left="312" w:hanging="312" w:hangingChars="130"/>
              <w:jc w:val="center"/>
            </w:pPr>
            <w:r>
              <w:rPr>
                <w:sz w:val="24"/>
                <w:szCs w:val="24"/>
              </w:rPr>
              <w:t>9.9mL</w:t>
            </w:r>
          </w:p>
        </w:tc>
      </w:tr>
    </w:tbl>
    <w:p w:rsidR="00A91940" w:rsidP="00A91940" w14:paraId="48CCE1F5" w14:textId="77777777">
      <w:pPr>
        <w:spacing w:line="360" w:lineRule="auto"/>
        <w:ind w:left="312" w:hanging="312" w:hangingChars="130"/>
      </w:pPr>
      <w:r>
        <w:rPr>
          <w:rFonts w:hint="eastAsia"/>
          <w:sz w:val="24"/>
          <w:szCs w:val="24"/>
        </w:rPr>
        <w:t>请根据实验结果回答问题：</w:t>
      </w:r>
    </w:p>
    <w:p w:rsidR="00A91940" w:rsidP="00A91940" w14:paraId="77054287" w14:textId="77777777">
      <w:pPr>
        <w:spacing w:line="360" w:lineRule="auto"/>
        <w:ind w:left="312" w:hanging="312" w:hangingChars="130"/>
      </w:pPr>
      <w:r>
        <w:rPr>
          <w:rFonts w:hint="eastAsia"/>
          <w:sz w:val="24"/>
          <w:szCs w:val="24"/>
        </w:rPr>
        <w:t>（</w:t>
      </w:r>
      <w:r>
        <w:rPr>
          <w:sz w:val="24"/>
          <w:szCs w:val="24"/>
        </w:rPr>
        <w:t>1</w:t>
      </w:r>
      <w:r>
        <w:rPr>
          <w:rFonts w:hint="eastAsia"/>
          <w:sz w:val="24"/>
          <w:szCs w:val="24"/>
        </w:rPr>
        <w:t>）实验开始时，水在肠腔和血液之间的移动方向是：甲组从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；丙组从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．在这一过程中水分子的运动方向是从溶液浓度</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处流向溶液浓度</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处．本实验中水分子的这种移动过程称为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91940" w:rsidP="00A91940" w14:paraId="1FD61CAC" w14:textId="77777777">
      <w:pPr>
        <w:spacing w:line="360" w:lineRule="auto"/>
        <w:ind w:left="312" w:hanging="312" w:hangingChars="130"/>
      </w:pPr>
      <w:r>
        <w:rPr>
          <w:rFonts w:hint="eastAsia"/>
          <w:sz w:val="24"/>
          <w:szCs w:val="24"/>
        </w:rPr>
        <w:t>（</w:t>
      </w:r>
      <w:r>
        <w:rPr>
          <w:sz w:val="24"/>
          <w:szCs w:val="24"/>
        </w:rPr>
        <w:t>2</w:t>
      </w:r>
      <w:r>
        <w:rPr>
          <w:rFonts w:hint="eastAsia"/>
          <w:sz w:val="24"/>
          <w:szCs w:val="24"/>
        </w:rPr>
        <w:t>）比较乙和丁的实验结果，可推测小肠在吸收</w:t>
      </w:r>
      <w:r>
        <w:rPr>
          <w:sz w:val="24"/>
          <w:szCs w:val="24"/>
        </w:rPr>
        <w:t>Na</w:t>
      </w:r>
      <w:r>
        <w:rPr>
          <w:rFonts w:ascii="宋体" w:hAnsi="宋体" w:hint="eastAsia"/>
          <w:sz w:val="24"/>
          <w:szCs w:val="24"/>
          <w:vertAlign w:val="superscript"/>
        </w:rPr>
        <w:t>+</w:t>
      </w:r>
      <w:r>
        <w:rPr>
          <w:rFonts w:hint="eastAsia"/>
          <w:sz w:val="24"/>
          <w:szCs w:val="24"/>
        </w:rPr>
        <w:t>时，需要</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的参与．</w:t>
      </w:r>
    </w:p>
    <w:p w:rsidR="00A91940" w:rsidP="00A91940" w14:paraId="7416AE0D" w14:textId="77777777">
      <w:pPr>
        <w:spacing w:line="360" w:lineRule="auto"/>
        <w:ind w:left="312" w:hanging="312" w:hangingChars="130"/>
        <w:rPr>
          <w:sz w:val="24"/>
          <w:szCs w:val="24"/>
        </w:rPr>
      </w:pPr>
      <w:r>
        <w:rPr>
          <w:sz w:val="24"/>
          <w:szCs w:val="24"/>
        </w:rPr>
        <w:t>7</w:t>
      </w:r>
      <w:r>
        <w:rPr>
          <w:rFonts w:hint="eastAsia"/>
          <w:sz w:val="24"/>
          <w:szCs w:val="24"/>
        </w:rPr>
        <w:t>．现有</w:t>
      </w:r>
      <w:r>
        <w:rPr>
          <w:sz w:val="24"/>
          <w:szCs w:val="24"/>
        </w:rPr>
        <w:t>A</w:t>
      </w:r>
      <w:r>
        <w:rPr>
          <w:rFonts w:hint="eastAsia"/>
          <w:sz w:val="24"/>
          <w:szCs w:val="24"/>
        </w:rPr>
        <w:t>，</w:t>
      </w:r>
      <w:r>
        <w:rPr>
          <w:sz w:val="24"/>
          <w:szCs w:val="24"/>
        </w:rPr>
        <w:t>B</w:t>
      </w:r>
      <w:r>
        <w:rPr>
          <w:rFonts w:hint="eastAsia"/>
          <w:sz w:val="24"/>
          <w:szCs w:val="24"/>
        </w:rPr>
        <w:t>两个密闭，透明的生态瓶，其生物组成和光照条件见表．一段时间后，发现</w:t>
      </w:r>
      <w:r>
        <w:rPr>
          <w:sz w:val="24"/>
          <w:szCs w:val="24"/>
        </w:rPr>
        <w:t>A</w:t>
      </w:r>
      <w:r>
        <w:rPr>
          <w:rFonts w:hint="eastAsia"/>
          <w:sz w:val="24"/>
          <w:szCs w:val="24"/>
        </w:rPr>
        <w:t>瓶的生态系统较</w:t>
      </w:r>
      <w:r>
        <w:rPr>
          <w:sz w:val="24"/>
          <w:szCs w:val="24"/>
        </w:rPr>
        <w:t>B</w:t>
      </w:r>
      <w:r>
        <w:rPr>
          <w:rFonts w:hint="eastAsia"/>
          <w:sz w:val="24"/>
          <w:szCs w:val="24"/>
        </w:rPr>
        <w:t>瓶的稳定．</w:t>
      </w:r>
    </w:p>
    <w:p w:rsidR="00A91940" w:rsidP="00A91940" w14:paraId="25201213" w14:textId="77777777">
      <w:pPr>
        <w:spacing w:line="360" w:lineRule="auto"/>
        <w:ind w:left="312" w:hanging="312" w:hangingChars="130"/>
        <w:rPr>
          <w:sz w:val="24"/>
          <w:szCs w:val="24"/>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597"/>
        <w:gridCol w:w="988"/>
        <w:gridCol w:w="2003"/>
        <w:gridCol w:w="1394"/>
        <w:gridCol w:w="988"/>
        <w:gridCol w:w="1396"/>
      </w:tblGrid>
      <w:tr w14:paraId="72E88CEE"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597" w:type="dxa"/>
            <w:tcBorders>
              <w:top w:val="single" w:sz="2" w:space="0" w:color="000000"/>
              <w:left w:val="single" w:sz="2" w:space="0" w:color="000000"/>
              <w:bottom w:val="single" w:sz="2" w:space="0" w:color="000000"/>
              <w:right w:val="single" w:sz="2" w:space="0" w:color="000000"/>
            </w:tcBorders>
            <w:hideMark/>
          </w:tcPr>
          <w:p w:rsidR="00A91940" w14:paraId="5A62255D" w14:textId="77777777">
            <w:pPr>
              <w:spacing w:line="360" w:lineRule="auto"/>
              <w:ind w:left="312" w:hanging="312" w:hangingChars="130"/>
              <w:jc w:val="center"/>
            </w:pPr>
            <w:r>
              <w:rPr>
                <w:rFonts w:hint="eastAsia"/>
                <w:sz w:val="24"/>
                <w:szCs w:val="24"/>
              </w:rPr>
              <w:t>生态瓶编号</w:t>
            </w:r>
          </w:p>
        </w:tc>
        <w:tc>
          <w:tcPr>
            <w:tcW w:w="988" w:type="dxa"/>
            <w:tcBorders>
              <w:top w:val="single" w:sz="2" w:space="0" w:color="000000"/>
              <w:left w:val="single" w:sz="2" w:space="0" w:color="000000"/>
              <w:bottom w:val="single" w:sz="2" w:space="0" w:color="000000"/>
              <w:right w:val="single" w:sz="2" w:space="0" w:color="000000"/>
            </w:tcBorders>
            <w:hideMark/>
          </w:tcPr>
          <w:p w:rsidR="00A91940" w14:paraId="02403F0D" w14:textId="77777777">
            <w:pPr>
              <w:spacing w:line="360" w:lineRule="auto"/>
              <w:ind w:left="312" w:hanging="312" w:hangingChars="130"/>
              <w:jc w:val="center"/>
            </w:pPr>
            <w:r>
              <w:rPr>
                <w:rFonts w:hint="eastAsia"/>
                <w:sz w:val="24"/>
                <w:szCs w:val="24"/>
              </w:rPr>
              <w:t>光照</w:t>
            </w:r>
          </w:p>
        </w:tc>
        <w:tc>
          <w:tcPr>
            <w:tcW w:w="2003" w:type="dxa"/>
            <w:tcBorders>
              <w:top w:val="single" w:sz="2" w:space="0" w:color="000000"/>
              <w:left w:val="single" w:sz="2" w:space="0" w:color="000000"/>
              <w:bottom w:val="single" w:sz="2" w:space="0" w:color="000000"/>
              <w:right w:val="single" w:sz="2" w:space="0" w:color="000000"/>
            </w:tcBorders>
            <w:hideMark/>
          </w:tcPr>
          <w:p w:rsidR="00A91940" w14:paraId="75BF762A" w14:textId="77777777">
            <w:pPr>
              <w:spacing w:line="360" w:lineRule="auto"/>
              <w:ind w:left="312" w:hanging="312" w:hangingChars="130"/>
              <w:jc w:val="center"/>
            </w:pPr>
            <w:r>
              <w:rPr>
                <w:rFonts w:hint="eastAsia"/>
                <w:sz w:val="24"/>
                <w:szCs w:val="24"/>
              </w:rPr>
              <w:t>含微生物的泥沙</w:t>
            </w:r>
          </w:p>
        </w:tc>
        <w:tc>
          <w:tcPr>
            <w:tcW w:w="1394" w:type="dxa"/>
            <w:tcBorders>
              <w:top w:val="single" w:sz="2" w:space="0" w:color="000000"/>
              <w:left w:val="single" w:sz="2" w:space="0" w:color="000000"/>
              <w:bottom w:val="single" w:sz="2" w:space="0" w:color="000000"/>
              <w:right w:val="single" w:sz="2" w:space="0" w:color="000000"/>
            </w:tcBorders>
            <w:hideMark/>
          </w:tcPr>
          <w:p w:rsidR="00A91940" w14:paraId="4D251C0D" w14:textId="77777777">
            <w:pPr>
              <w:spacing w:line="360" w:lineRule="auto"/>
              <w:ind w:left="312" w:hanging="312" w:hangingChars="130"/>
              <w:jc w:val="center"/>
            </w:pPr>
            <w:r>
              <w:rPr>
                <w:rFonts w:hint="eastAsia"/>
                <w:sz w:val="24"/>
                <w:szCs w:val="24"/>
              </w:rPr>
              <w:t>浮游藻类</w:t>
            </w:r>
          </w:p>
        </w:tc>
        <w:tc>
          <w:tcPr>
            <w:tcW w:w="988" w:type="dxa"/>
            <w:tcBorders>
              <w:top w:val="single" w:sz="2" w:space="0" w:color="000000"/>
              <w:left w:val="single" w:sz="2" w:space="0" w:color="000000"/>
              <w:bottom w:val="single" w:sz="2" w:space="0" w:color="000000"/>
              <w:right w:val="single" w:sz="2" w:space="0" w:color="000000"/>
            </w:tcBorders>
            <w:hideMark/>
          </w:tcPr>
          <w:p w:rsidR="00A91940" w14:paraId="23B1F3C5" w14:textId="77777777">
            <w:pPr>
              <w:spacing w:line="360" w:lineRule="auto"/>
              <w:ind w:left="312" w:hanging="312" w:hangingChars="130"/>
              <w:jc w:val="center"/>
            </w:pPr>
            <w:r>
              <w:rPr>
                <w:rFonts w:hint="eastAsia"/>
                <w:sz w:val="24"/>
                <w:szCs w:val="24"/>
              </w:rPr>
              <w:t>水草</w:t>
            </w:r>
          </w:p>
        </w:tc>
        <w:tc>
          <w:tcPr>
            <w:tcW w:w="1396" w:type="dxa"/>
            <w:tcBorders>
              <w:top w:val="single" w:sz="2" w:space="0" w:color="000000"/>
              <w:left w:val="single" w:sz="2" w:space="0" w:color="000000"/>
              <w:bottom w:val="single" w:sz="2" w:space="0" w:color="000000"/>
              <w:right w:val="single" w:sz="2" w:space="0" w:color="000000"/>
            </w:tcBorders>
            <w:hideMark/>
          </w:tcPr>
          <w:p w:rsidR="00A91940" w14:paraId="7CE18642" w14:textId="77777777">
            <w:pPr>
              <w:spacing w:line="360" w:lineRule="auto"/>
              <w:ind w:left="312" w:hanging="312" w:hangingChars="130"/>
              <w:jc w:val="center"/>
            </w:pPr>
            <w:r>
              <w:rPr>
                <w:rFonts w:hint="eastAsia"/>
                <w:sz w:val="24"/>
                <w:szCs w:val="24"/>
              </w:rPr>
              <w:t>浮游动物</w:t>
            </w:r>
          </w:p>
        </w:tc>
      </w:tr>
      <w:tr w14:paraId="2C988184" w14:textId="77777777">
        <w:tblPrEx>
          <w:tblW w:w="0" w:type="auto"/>
          <w:tblLayout w:type="fixed"/>
          <w:tblCellMar>
            <w:top w:w="30" w:type="dxa"/>
            <w:left w:w="30" w:type="dxa"/>
            <w:bottom w:w="30" w:type="dxa"/>
            <w:right w:w="30" w:type="dxa"/>
          </w:tblCellMar>
          <w:tblLook w:val="04A0"/>
        </w:tblPrEx>
        <w:tc>
          <w:tcPr>
            <w:tcW w:w="1597" w:type="dxa"/>
            <w:tcBorders>
              <w:top w:val="single" w:sz="2" w:space="0" w:color="000000"/>
              <w:left w:val="single" w:sz="2" w:space="0" w:color="000000"/>
              <w:bottom w:val="single" w:sz="2" w:space="0" w:color="000000"/>
              <w:right w:val="single" w:sz="2" w:space="0" w:color="000000"/>
            </w:tcBorders>
            <w:hideMark/>
          </w:tcPr>
          <w:p w:rsidR="00A91940" w14:paraId="5E738982" w14:textId="77777777">
            <w:pPr>
              <w:spacing w:line="360" w:lineRule="auto"/>
              <w:ind w:left="312" w:hanging="312" w:hangingChars="130"/>
              <w:jc w:val="center"/>
            </w:pPr>
            <w:r>
              <w:rPr>
                <w:sz w:val="24"/>
                <w:szCs w:val="24"/>
              </w:rPr>
              <w:t>A</w:t>
            </w:r>
          </w:p>
        </w:tc>
        <w:tc>
          <w:tcPr>
            <w:tcW w:w="988" w:type="dxa"/>
            <w:tcBorders>
              <w:top w:val="single" w:sz="2" w:space="0" w:color="000000"/>
              <w:left w:val="single" w:sz="2" w:space="0" w:color="000000"/>
              <w:bottom w:val="single" w:sz="2" w:space="0" w:color="000000"/>
              <w:right w:val="single" w:sz="2" w:space="0" w:color="000000"/>
            </w:tcBorders>
            <w:hideMark/>
          </w:tcPr>
          <w:p w:rsidR="00A91940" w14:paraId="116F3498" w14:textId="77777777">
            <w:pPr>
              <w:spacing w:line="360" w:lineRule="auto"/>
              <w:ind w:left="312" w:hanging="312" w:hangingChars="130"/>
              <w:jc w:val="center"/>
            </w:pPr>
            <w:r>
              <w:rPr>
                <w:rFonts w:ascii="宋体" w:hAnsi="宋体" w:hint="eastAsia"/>
                <w:sz w:val="24"/>
                <w:szCs w:val="24"/>
              </w:rPr>
              <w:t>+</w:t>
            </w:r>
          </w:p>
        </w:tc>
        <w:tc>
          <w:tcPr>
            <w:tcW w:w="2003" w:type="dxa"/>
            <w:tcBorders>
              <w:top w:val="single" w:sz="2" w:space="0" w:color="000000"/>
              <w:left w:val="single" w:sz="2" w:space="0" w:color="000000"/>
              <w:bottom w:val="single" w:sz="2" w:space="0" w:color="000000"/>
              <w:right w:val="single" w:sz="2" w:space="0" w:color="000000"/>
            </w:tcBorders>
            <w:hideMark/>
          </w:tcPr>
          <w:p w:rsidR="00A91940" w14:paraId="72416210" w14:textId="77777777">
            <w:pPr>
              <w:spacing w:line="360" w:lineRule="auto"/>
              <w:ind w:left="312" w:hanging="312" w:hangingChars="130"/>
              <w:jc w:val="center"/>
            </w:pPr>
            <w:r>
              <w:rPr>
                <w:rFonts w:ascii="宋体" w:hAnsi="宋体" w:hint="eastAsia"/>
                <w:sz w:val="24"/>
                <w:szCs w:val="24"/>
              </w:rPr>
              <w:t>+</w:t>
            </w:r>
          </w:p>
        </w:tc>
        <w:tc>
          <w:tcPr>
            <w:tcW w:w="1394" w:type="dxa"/>
            <w:tcBorders>
              <w:top w:val="single" w:sz="2" w:space="0" w:color="000000"/>
              <w:left w:val="single" w:sz="2" w:space="0" w:color="000000"/>
              <w:bottom w:val="single" w:sz="2" w:space="0" w:color="000000"/>
              <w:right w:val="single" w:sz="2" w:space="0" w:color="000000"/>
            </w:tcBorders>
            <w:hideMark/>
          </w:tcPr>
          <w:p w:rsidR="00A91940" w14:paraId="515BFE84" w14:textId="77777777">
            <w:pPr>
              <w:spacing w:line="360" w:lineRule="auto"/>
              <w:ind w:left="312" w:hanging="312" w:hangingChars="130"/>
              <w:jc w:val="center"/>
            </w:pPr>
            <w:r>
              <w:rPr>
                <w:rFonts w:ascii="宋体" w:hAnsi="宋体" w:hint="eastAsia"/>
                <w:sz w:val="24"/>
                <w:szCs w:val="24"/>
              </w:rPr>
              <w:t>+</w:t>
            </w:r>
          </w:p>
        </w:tc>
        <w:tc>
          <w:tcPr>
            <w:tcW w:w="988" w:type="dxa"/>
            <w:tcBorders>
              <w:top w:val="single" w:sz="2" w:space="0" w:color="000000"/>
              <w:left w:val="single" w:sz="2" w:space="0" w:color="000000"/>
              <w:bottom w:val="single" w:sz="2" w:space="0" w:color="000000"/>
              <w:right w:val="single" w:sz="2" w:space="0" w:color="000000"/>
            </w:tcBorders>
            <w:hideMark/>
          </w:tcPr>
          <w:p w:rsidR="00A91940" w14:paraId="513FEDC9" w14:textId="77777777">
            <w:pPr>
              <w:spacing w:line="360" w:lineRule="auto"/>
              <w:ind w:left="312" w:hanging="312" w:hangingChars="130"/>
              <w:jc w:val="center"/>
            </w:pPr>
            <w:r>
              <w:rPr>
                <w:rFonts w:ascii="宋体" w:hAnsi="宋体" w:hint="eastAsia"/>
                <w:sz w:val="24"/>
                <w:szCs w:val="24"/>
              </w:rPr>
              <w:t>+</w:t>
            </w:r>
          </w:p>
        </w:tc>
        <w:tc>
          <w:tcPr>
            <w:tcW w:w="1396" w:type="dxa"/>
            <w:tcBorders>
              <w:top w:val="single" w:sz="2" w:space="0" w:color="000000"/>
              <w:left w:val="single" w:sz="2" w:space="0" w:color="000000"/>
              <w:bottom w:val="single" w:sz="2" w:space="0" w:color="000000"/>
              <w:right w:val="single" w:sz="2" w:space="0" w:color="000000"/>
            </w:tcBorders>
            <w:hideMark/>
          </w:tcPr>
          <w:p w:rsidR="00A91940" w14:paraId="1C921E13" w14:textId="77777777">
            <w:pPr>
              <w:spacing w:line="360" w:lineRule="auto"/>
              <w:ind w:left="312" w:hanging="312" w:hangingChars="130"/>
              <w:jc w:val="center"/>
            </w:pPr>
            <w:r>
              <w:rPr>
                <w:rFonts w:ascii="宋体" w:hAnsi="宋体" w:hint="eastAsia"/>
                <w:sz w:val="24"/>
                <w:szCs w:val="24"/>
              </w:rPr>
              <w:t>+</w:t>
            </w:r>
          </w:p>
        </w:tc>
      </w:tr>
      <w:tr w14:paraId="083CC834" w14:textId="77777777">
        <w:tblPrEx>
          <w:tblW w:w="0" w:type="auto"/>
          <w:tblLayout w:type="fixed"/>
          <w:tblCellMar>
            <w:top w:w="30" w:type="dxa"/>
            <w:left w:w="30" w:type="dxa"/>
            <w:bottom w:w="30" w:type="dxa"/>
            <w:right w:w="30" w:type="dxa"/>
          </w:tblCellMar>
          <w:tblLook w:val="04A0"/>
        </w:tblPrEx>
        <w:tc>
          <w:tcPr>
            <w:tcW w:w="1597" w:type="dxa"/>
            <w:tcBorders>
              <w:top w:val="single" w:sz="2" w:space="0" w:color="000000"/>
              <w:left w:val="single" w:sz="2" w:space="0" w:color="000000"/>
              <w:bottom w:val="single" w:sz="2" w:space="0" w:color="000000"/>
              <w:right w:val="single" w:sz="2" w:space="0" w:color="000000"/>
            </w:tcBorders>
            <w:hideMark/>
          </w:tcPr>
          <w:p w:rsidR="00A91940" w14:paraId="71AD6AC9" w14:textId="77777777">
            <w:pPr>
              <w:spacing w:line="360" w:lineRule="auto"/>
              <w:ind w:left="312" w:hanging="312" w:hangingChars="130"/>
              <w:jc w:val="center"/>
            </w:pPr>
            <w:r>
              <w:rPr>
                <w:sz w:val="24"/>
                <w:szCs w:val="24"/>
              </w:rPr>
              <w:t>B</w:t>
            </w:r>
          </w:p>
        </w:tc>
        <w:tc>
          <w:tcPr>
            <w:tcW w:w="988" w:type="dxa"/>
            <w:tcBorders>
              <w:top w:val="single" w:sz="2" w:space="0" w:color="000000"/>
              <w:left w:val="single" w:sz="2" w:space="0" w:color="000000"/>
              <w:bottom w:val="single" w:sz="2" w:space="0" w:color="000000"/>
              <w:right w:val="single" w:sz="2" w:space="0" w:color="000000"/>
            </w:tcBorders>
            <w:hideMark/>
          </w:tcPr>
          <w:p w:rsidR="00A91940" w14:paraId="24E685F3" w14:textId="77777777">
            <w:pPr>
              <w:spacing w:line="360" w:lineRule="auto"/>
              <w:ind w:left="312" w:hanging="312" w:hangingChars="130"/>
              <w:jc w:val="center"/>
            </w:pPr>
            <w:r>
              <w:rPr>
                <w:rFonts w:hint="eastAsia"/>
                <w:sz w:val="24"/>
                <w:szCs w:val="24"/>
              </w:rPr>
              <w:t>﹣</w:t>
            </w:r>
          </w:p>
        </w:tc>
        <w:tc>
          <w:tcPr>
            <w:tcW w:w="2003" w:type="dxa"/>
            <w:tcBorders>
              <w:top w:val="single" w:sz="2" w:space="0" w:color="000000"/>
              <w:left w:val="single" w:sz="2" w:space="0" w:color="000000"/>
              <w:bottom w:val="single" w:sz="2" w:space="0" w:color="000000"/>
              <w:right w:val="single" w:sz="2" w:space="0" w:color="000000"/>
            </w:tcBorders>
            <w:hideMark/>
          </w:tcPr>
          <w:p w:rsidR="00A91940" w14:paraId="3AAD8887" w14:textId="77777777">
            <w:pPr>
              <w:spacing w:line="360" w:lineRule="auto"/>
              <w:ind w:left="312" w:hanging="312" w:hangingChars="130"/>
              <w:jc w:val="center"/>
            </w:pPr>
            <w:r>
              <w:rPr>
                <w:rFonts w:ascii="宋体" w:hAnsi="宋体" w:hint="eastAsia"/>
                <w:sz w:val="24"/>
                <w:szCs w:val="24"/>
              </w:rPr>
              <w:t>+</w:t>
            </w:r>
          </w:p>
        </w:tc>
        <w:tc>
          <w:tcPr>
            <w:tcW w:w="1394" w:type="dxa"/>
            <w:tcBorders>
              <w:top w:val="single" w:sz="2" w:space="0" w:color="000000"/>
              <w:left w:val="single" w:sz="2" w:space="0" w:color="000000"/>
              <w:bottom w:val="single" w:sz="2" w:space="0" w:color="000000"/>
              <w:right w:val="single" w:sz="2" w:space="0" w:color="000000"/>
            </w:tcBorders>
            <w:hideMark/>
          </w:tcPr>
          <w:p w:rsidR="00A91940" w14:paraId="2E5B874C" w14:textId="77777777">
            <w:pPr>
              <w:spacing w:line="360" w:lineRule="auto"/>
              <w:ind w:left="312" w:hanging="312" w:hangingChars="130"/>
              <w:jc w:val="center"/>
            </w:pPr>
            <w:r>
              <w:rPr>
                <w:rFonts w:ascii="宋体" w:hAnsi="宋体" w:hint="eastAsia"/>
                <w:sz w:val="24"/>
                <w:szCs w:val="24"/>
              </w:rPr>
              <w:t>+</w:t>
            </w:r>
          </w:p>
        </w:tc>
        <w:tc>
          <w:tcPr>
            <w:tcW w:w="988" w:type="dxa"/>
            <w:tcBorders>
              <w:top w:val="single" w:sz="2" w:space="0" w:color="000000"/>
              <w:left w:val="single" w:sz="2" w:space="0" w:color="000000"/>
              <w:bottom w:val="single" w:sz="2" w:space="0" w:color="000000"/>
              <w:right w:val="single" w:sz="2" w:space="0" w:color="000000"/>
            </w:tcBorders>
            <w:hideMark/>
          </w:tcPr>
          <w:p w:rsidR="00A91940" w14:paraId="086249CD" w14:textId="77777777">
            <w:pPr>
              <w:spacing w:line="360" w:lineRule="auto"/>
              <w:ind w:left="312" w:hanging="312" w:hangingChars="130"/>
              <w:jc w:val="center"/>
            </w:pPr>
            <w:r>
              <w:rPr>
                <w:rFonts w:ascii="宋体" w:hAnsi="宋体" w:hint="eastAsia"/>
                <w:sz w:val="24"/>
                <w:szCs w:val="24"/>
              </w:rPr>
              <w:t>+</w:t>
            </w:r>
          </w:p>
        </w:tc>
        <w:tc>
          <w:tcPr>
            <w:tcW w:w="1396" w:type="dxa"/>
            <w:tcBorders>
              <w:top w:val="single" w:sz="2" w:space="0" w:color="000000"/>
              <w:left w:val="single" w:sz="2" w:space="0" w:color="000000"/>
              <w:bottom w:val="single" w:sz="2" w:space="0" w:color="000000"/>
              <w:right w:val="single" w:sz="2" w:space="0" w:color="000000"/>
            </w:tcBorders>
            <w:hideMark/>
          </w:tcPr>
          <w:p w:rsidR="00A91940" w14:paraId="3DB5F31F" w14:textId="77777777">
            <w:pPr>
              <w:spacing w:line="360" w:lineRule="auto"/>
              <w:ind w:left="312" w:hanging="312" w:hangingChars="130"/>
              <w:jc w:val="center"/>
            </w:pPr>
            <w:r>
              <w:rPr>
                <w:rFonts w:ascii="宋体" w:hAnsi="宋体" w:hint="eastAsia"/>
                <w:sz w:val="24"/>
                <w:szCs w:val="24"/>
              </w:rPr>
              <w:t>+</w:t>
            </w:r>
          </w:p>
        </w:tc>
      </w:tr>
    </w:tbl>
    <w:p w:rsidR="00A91940" w:rsidP="00A91940" w14:paraId="1ED92180" w14:textId="77777777">
      <w:pPr>
        <w:spacing w:line="360" w:lineRule="auto"/>
        <w:ind w:left="312" w:hanging="312" w:hangingChars="130"/>
      </w:pPr>
      <w:r>
        <w:rPr>
          <w:rFonts w:hint="eastAsia"/>
          <w:sz w:val="24"/>
          <w:szCs w:val="24"/>
        </w:rPr>
        <w:t>注</w:t>
      </w:r>
      <w:r>
        <w:rPr>
          <w:sz w:val="24"/>
          <w:szCs w:val="24"/>
        </w:rPr>
        <w:t>“</w:t>
      </w:r>
      <w:r>
        <w:rPr>
          <w:rFonts w:ascii="宋体" w:hAnsi="宋体" w:hint="eastAsia"/>
          <w:sz w:val="24"/>
          <w:szCs w:val="24"/>
        </w:rPr>
        <w:t>+</w:t>
      </w:r>
      <w:r>
        <w:rPr>
          <w:sz w:val="24"/>
          <w:szCs w:val="24"/>
        </w:rPr>
        <w:t>”</w:t>
      </w:r>
      <w:r>
        <w:rPr>
          <w:rFonts w:hint="eastAsia"/>
          <w:sz w:val="24"/>
          <w:szCs w:val="24"/>
        </w:rPr>
        <w:t>表示有，</w:t>
      </w:r>
      <w:r>
        <w:rPr>
          <w:sz w:val="24"/>
          <w:szCs w:val="24"/>
        </w:rPr>
        <w:t>“</w:t>
      </w:r>
      <w:r>
        <w:rPr>
          <w:rFonts w:hint="eastAsia"/>
          <w:sz w:val="24"/>
          <w:szCs w:val="24"/>
        </w:rPr>
        <w:t>﹣</w:t>
      </w:r>
      <w:r>
        <w:rPr>
          <w:sz w:val="24"/>
          <w:szCs w:val="24"/>
        </w:rPr>
        <w:t>”</w:t>
      </w:r>
      <w:r>
        <w:rPr>
          <w:rFonts w:hint="eastAsia"/>
          <w:sz w:val="24"/>
          <w:szCs w:val="24"/>
        </w:rPr>
        <w:t>表示无．</w:t>
      </w:r>
    </w:p>
    <w:p w:rsidR="00A91940" w:rsidP="00A91940" w14:paraId="0AE6DE3B" w14:textId="77777777">
      <w:pPr>
        <w:spacing w:line="360" w:lineRule="auto"/>
        <w:ind w:left="312" w:hanging="312" w:hangingChars="130"/>
      </w:pPr>
      <w:r>
        <w:rPr>
          <w:rFonts w:hint="eastAsia"/>
          <w:sz w:val="24"/>
          <w:szCs w:val="24"/>
        </w:rPr>
        <w:t>请回答：</w:t>
      </w:r>
    </w:p>
    <w:p w:rsidR="00A91940" w:rsidP="00A91940" w14:paraId="55E82FC9"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A</w:t>
      </w:r>
      <w:r>
        <w:rPr>
          <w:rFonts w:hint="eastAsia"/>
          <w:sz w:val="24"/>
          <w:szCs w:val="24"/>
        </w:rPr>
        <w:t>瓶中微生物、浮游藻类、水草和浮游动物共同组成了一个</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．浮游藻类和水草的种间关系为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91940" w:rsidP="00A91940" w14:paraId="477E0E42"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）一段时间后，</w:t>
      </w:r>
      <w:r>
        <w:rPr>
          <w:sz w:val="24"/>
          <w:szCs w:val="24"/>
        </w:rPr>
        <w:t>B</w:t>
      </w:r>
      <w:r>
        <w:rPr>
          <w:rFonts w:hint="eastAsia"/>
          <w:sz w:val="24"/>
          <w:szCs w:val="24"/>
        </w:rPr>
        <w:t>瓶中浮游藻类种群密度</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，浮游动物的种群密度</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91940" w:rsidP="00A91940" w14:paraId="49F5C474" w14:textId="77777777">
      <w:pPr>
        <w:spacing w:line="360" w:lineRule="auto"/>
        <w:ind w:left="312" w:hanging="312" w:hangingChars="130"/>
      </w:pPr>
      <w:r>
        <w:rPr>
          <w:rFonts w:hint="eastAsia"/>
          <w:sz w:val="24"/>
          <w:szCs w:val="24"/>
        </w:rPr>
        <w:t>（</w:t>
      </w:r>
      <w:r>
        <w:rPr>
          <w:sz w:val="24"/>
          <w:szCs w:val="24"/>
        </w:rPr>
        <w:t>3</w:t>
      </w:r>
      <w:r>
        <w:rPr>
          <w:rFonts w:hint="eastAsia"/>
          <w:sz w:val="24"/>
          <w:szCs w:val="24"/>
        </w:rPr>
        <w:t>）生态系统中分解者的作用是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91940" w:rsidP="00A91940" w14:paraId="747E851B" w14:textId="77777777">
      <w:pPr>
        <w:spacing w:line="360" w:lineRule="auto"/>
        <w:ind w:left="312" w:hanging="312" w:hangingChars="130"/>
      </w:pPr>
      <w:r>
        <w:rPr>
          <w:sz w:val="24"/>
          <w:szCs w:val="24"/>
        </w:rPr>
        <w:t>8</w:t>
      </w:r>
      <w:r>
        <w:rPr>
          <w:rFonts w:hint="eastAsia"/>
          <w:sz w:val="24"/>
          <w:szCs w:val="24"/>
        </w:rPr>
        <w:t>．现有</w:t>
      </w:r>
      <w:r>
        <w:rPr>
          <w:sz w:val="24"/>
          <w:szCs w:val="24"/>
        </w:rPr>
        <w:t>4</w:t>
      </w:r>
      <w:r>
        <w:rPr>
          <w:rFonts w:hint="eastAsia"/>
          <w:sz w:val="24"/>
          <w:szCs w:val="24"/>
        </w:rPr>
        <w:t>个小麦纯合品种，即抗锈病无芒、抗锈病有芒，感锈病无芒和感锈病有芒．已知抗锈病对感锈病为显性．无芒对有芒为显性，且这两对相对性状各由一对等位基因控制，若用上述</w:t>
      </w:r>
      <w:r>
        <w:rPr>
          <w:sz w:val="24"/>
          <w:szCs w:val="24"/>
        </w:rPr>
        <w:t>4</w:t>
      </w:r>
      <w:r>
        <w:rPr>
          <w:rFonts w:hint="eastAsia"/>
          <w:sz w:val="24"/>
          <w:szCs w:val="24"/>
        </w:rPr>
        <w:t>个品种组成两个杂交组合，使其</w:t>
      </w:r>
      <w:r>
        <w:rPr>
          <w:sz w:val="24"/>
          <w:szCs w:val="24"/>
        </w:rPr>
        <w:t>F</w:t>
      </w:r>
      <w:r>
        <w:rPr>
          <w:sz w:val="24"/>
          <w:szCs w:val="24"/>
          <w:vertAlign w:val="subscript"/>
        </w:rPr>
        <w:t>1</w:t>
      </w:r>
      <w:r>
        <w:rPr>
          <w:rFonts w:hint="eastAsia"/>
          <w:sz w:val="24"/>
          <w:szCs w:val="24"/>
        </w:rPr>
        <w:t>均为抗锈病无芒，且这两个杂交组合</w:t>
      </w:r>
      <w:r>
        <w:rPr>
          <w:sz w:val="24"/>
          <w:szCs w:val="24"/>
        </w:rPr>
        <w:t>F</w:t>
      </w:r>
      <w:r>
        <w:rPr>
          <w:sz w:val="24"/>
          <w:szCs w:val="24"/>
          <w:vertAlign w:val="subscript"/>
        </w:rPr>
        <w:t>2</w:t>
      </w:r>
      <w:r>
        <w:rPr>
          <w:rFonts w:hint="eastAsia"/>
          <w:sz w:val="24"/>
          <w:szCs w:val="24"/>
        </w:rPr>
        <w:t>的表现型及其数量比完全一致，回答问题：</w:t>
      </w:r>
    </w:p>
    <w:p w:rsidR="00A91940" w:rsidP="00A91940" w14:paraId="34C55D63"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）为实现上述目的，理论上，必须满足的条件有：在亲本中控制这两对相对性状的两对等位基因必须位于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上，在形成配子时非等位基因要</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，在受精时雌雄配子要</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，而且每种合子（受精卵）的存活率也要</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．那么，这两个杂交组合分别是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和</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91940" w:rsidP="00A91940" w14:paraId="129C6D1E"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）上述两个杂交组合的全部</w:t>
      </w:r>
      <w:r>
        <w:rPr>
          <w:sz w:val="24"/>
          <w:szCs w:val="24"/>
        </w:rPr>
        <w:t>F</w:t>
      </w:r>
      <w:r>
        <w:rPr>
          <w:sz w:val="24"/>
          <w:szCs w:val="24"/>
          <w:vertAlign w:val="subscript"/>
        </w:rPr>
        <w:t>2</w:t>
      </w:r>
      <w:r>
        <w:rPr>
          <w:rFonts w:hint="eastAsia"/>
          <w:sz w:val="24"/>
          <w:szCs w:val="24"/>
        </w:rPr>
        <w:t>植株自交得到</w:t>
      </w:r>
      <w:r>
        <w:rPr>
          <w:sz w:val="24"/>
          <w:szCs w:val="24"/>
        </w:rPr>
        <w:t>F</w:t>
      </w:r>
      <w:r>
        <w:rPr>
          <w:sz w:val="24"/>
          <w:szCs w:val="24"/>
          <w:vertAlign w:val="subscript"/>
        </w:rPr>
        <w:t>3</w:t>
      </w:r>
      <w:r>
        <w:rPr>
          <w:rFonts w:hint="eastAsia"/>
          <w:sz w:val="24"/>
          <w:szCs w:val="24"/>
        </w:rPr>
        <w:t>种子，</w:t>
      </w:r>
      <w:r>
        <w:rPr>
          <w:sz w:val="24"/>
          <w:szCs w:val="24"/>
        </w:rPr>
        <w:t>1</w:t>
      </w:r>
      <w:r>
        <w:rPr>
          <w:rFonts w:hint="eastAsia"/>
          <w:sz w:val="24"/>
          <w:szCs w:val="24"/>
        </w:rPr>
        <w:t>个</w:t>
      </w:r>
      <w:r>
        <w:rPr>
          <w:sz w:val="24"/>
          <w:szCs w:val="24"/>
        </w:rPr>
        <w:t>F</w:t>
      </w:r>
      <w:r>
        <w:rPr>
          <w:sz w:val="24"/>
          <w:szCs w:val="24"/>
          <w:vertAlign w:val="subscript"/>
        </w:rPr>
        <w:t>2</w:t>
      </w:r>
      <w:r>
        <w:rPr>
          <w:rFonts w:hint="eastAsia"/>
          <w:sz w:val="24"/>
          <w:szCs w:val="24"/>
        </w:rPr>
        <w:t>植株上所结的全部</w:t>
      </w:r>
      <w:r>
        <w:rPr>
          <w:sz w:val="24"/>
          <w:szCs w:val="24"/>
        </w:rPr>
        <w:t>F</w:t>
      </w:r>
      <w:r>
        <w:rPr>
          <w:sz w:val="24"/>
          <w:szCs w:val="24"/>
          <w:vertAlign w:val="subscript"/>
        </w:rPr>
        <w:t>3</w:t>
      </w:r>
      <w:r>
        <w:rPr>
          <w:rFonts w:hint="eastAsia"/>
          <w:sz w:val="24"/>
          <w:szCs w:val="24"/>
        </w:rPr>
        <w:t>种子种在一起，长成的植株称为</w:t>
      </w:r>
      <w:r>
        <w:rPr>
          <w:sz w:val="24"/>
          <w:szCs w:val="24"/>
        </w:rPr>
        <w:t>1</w:t>
      </w:r>
      <w:r>
        <w:rPr>
          <w:rFonts w:hint="eastAsia"/>
          <w:sz w:val="24"/>
          <w:szCs w:val="24"/>
        </w:rPr>
        <w:t>个株系．理论上，在所有</w:t>
      </w:r>
      <w:r>
        <w:rPr>
          <w:sz w:val="24"/>
          <w:szCs w:val="24"/>
        </w:rPr>
        <w:t>F</w:t>
      </w:r>
      <w:r>
        <w:rPr>
          <w:sz w:val="24"/>
          <w:szCs w:val="24"/>
          <w:vertAlign w:val="subscript"/>
        </w:rPr>
        <w:t>3</w:t>
      </w:r>
      <w:r>
        <w:rPr>
          <w:rFonts w:hint="eastAsia"/>
          <w:sz w:val="24"/>
          <w:szCs w:val="24"/>
        </w:rPr>
        <w:t>株系中，只表现出一对性状分离的株系有</w:t>
      </w:r>
      <w:r>
        <w:rPr>
          <w:sz w:val="24"/>
          <w:szCs w:val="24"/>
        </w:rPr>
        <w:t>4</w:t>
      </w:r>
      <w:r>
        <w:rPr>
          <w:rFonts w:hint="eastAsia"/>
          <w:sz w:val="24"/>
          <w:szCs w:val="24"/>
        </w:rPr>
        <w:t>种，那么，在这</w:t>
      </w:r>
      <w:r>
        <w:rPr>
          <w:sz w:val="24"/>
          <w:szCs w:val="24"/>
        </w:rPr>
        <w:t>4</w:t>
      </w:r>
      <w:r>
        <w:rPr>
          <w:rFonts w:hint="eastAsia"/>
          <w:sz w:val="24"/>
          <w:szCs w:val="24"/>
        </w:rPr>
        <w:t>种株系中，每种株系的表现型及其数量比分别是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和</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91940" w:rsidP="00A91940" w14:paraId="1612DCAF" w14:textId="77777777">
      <w:pPr>
        <w:spacing w:line="360" w:lineRule="auto"/>
        <w:ind w:left="312" w:hanging="312" w:hangingChars="130"/>
      </w:pPr>
      <w:r>
        <w:rPr>
          <w:sz w:val="24"/>
          <w:szCs w:val="24"/>
        </w:rPr>
        <w:t>9</w:t>
      </w:r>
      <w:r>
        <w:rPr>
          <w:rFonts w:hint="eastAsia"/>
          <w:sz w:val="24"/>
          <w:szCs w:val="24"/>
        </w:rPr>
        <w:t>．植物的光合作用受多种因素的影响，回答下列问题：</w:t>
      </w:r>
    </w:p>
    <w:p w:rsidR="00A91940" w:rsidP="00A91940" w14:paraId="6CA8F5AC" w14:textId="77777777">
      <w:pPr>
        <w:spacing w:line="360" w:lineRule="auto"/>
        <w:ind w:left="312" w:hanging="312" w:hangingChars="130"/>
      </w:pPr>
      <w:r>
        <w:rPr>
          <w:rFonts w:hint="eastAsia"/>
          <w:sz w:val="24"/>
          <w:szCs w:val="24"/>
        </w:rPr>
        <w:t>（</w:t>
      </w:r>
      <w:r>
        <w:rPr>
          <w:sz w:val="24"/>
          <w:szCs w:val="24"/>
        </w:rPr>
        <w:t>1</w:t>
      </w:r>
      <w:r>
        <w:rPr>
          <w:rFonts w:hint="eastAsia"/>
          <w:sz w:val="24"/>
          <w:szCs w:val="24"/>
        </w:rPr>
        <w:t>）如图表示了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对某种</w:t>
      </w:r>
      <w:r>
        <w:rPr>
          <w:sz w:val="24"/>
          <w:szCs w:val="24"/>
        </w:rPr>
        <w:t>C</w:t>
      </w:r>
      <w:r>
        <w:rPr>
          <w:sz w:val="24"/>
          <w:szCs w:val="24"/>
          <w:vertAlign w:val="subscript"/>
        </w:rPr>
        <w:t>3</w:t>
      </w:r>
      <w:r>
        <w:rPr>
          <w:rFonts w:hint="eastAsia"/>
          <w:sz w:val="24"/>
          <w:szCs w:val="24"/>
        </w:rPr>
        <w:t>植物和某种</w:t>
      </w:r>
      <w:r>
        <w:rPr>
          <w:sz w:val="24"/>
          <w:szCs w:val="24"/>
        </w:rPr>
        <w:t>C</w:t>
      </w:r>
      <w:r>
        <w:rPr>
          <w:sz w:val="24"/>
          <w:szCs w:val="24"/>
          <w:vertAlign w:val="subscript"/>
        </w:rPr>
        <w:t>4</w:t>
      </w:r>
      <w:r>
        <w:rPr>
          <w:rFonts w:hint="eastAsia"/>
          <w:sz w:val="24"/>
          <w:szCs w:val="24"/>
        </w:rPr>
        <w:t>植物</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的影响．当光照强度大于</w:t>
      </w:r>
      <w:r>
        <w:rPr>
          <w:sz w:val="24"/>
          <w:szCs w:val="24"/>
        </w:rPr>
        <w:t>p</w:t>
      </w:r>
      <w:r>
        <w:rPr>
          <w:rFonts w:hint="eastAsia"/>
          <w:sz w:val="24"/>
          <w:szCs w:val="24"/>
        </w:rPr>
        <w:t>时，</w:t>
      </w:r>
      <w:r>
        <w:rPr>
          <w:sz w:val="24"/>
          <w:szCs w:val="24"/>
        </w:rPr>
        <w:t>C</w:t>
      </w:r>
      <w:r>
        <w:rPr>
          <w:sz w:val="24"/>
          <w:szCs w:val="24"/>
          <w:vertAlign w:val="subscript"/>
        </w:rPr>
        <w:t>3</w:t>
      </w:r>
      <w:r>
        <w:rPr>
          <w:rFonts w:hint="eastAsia"/>
          <w:sz w:val="24"/>
          <w:szCs w:val="24"/>
        </w:rPr>
        <w:t>植物和</w:t>
      </w:r>
      <w:r>
        <w:rPr>
          <w:sz w:val="24"/>
          <w:szCs w:val="24"/>
        </w:rPr>
        <w:t>C</w:t>
      </w:r>
      <w:r>
        <w:rPr>
          <w:sz w:val="24"/>
          <w:szCs w:val="24"/>
          <w:vertAlign w:val="subscript"/>
        </w:rPr>
        <w:t>4</w:t>
      </w:r>
      <w:r>
        <w:rPr>
          <w:rFonts w:hint="eastAsia"/>
          <w:sz w:val="24"/>
          <w:szCs w:val="24"/>
        </w:rPr>
        <w:t>植物中光能利用率高的是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植物．通常提高光能利用率的措施有增加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的面积，补充</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气体等．</w:t>
      </w:r>
    </w:p>
    <w:p w:rsidR="00A91940" w:rsidP="00A91940" w14:paraId="28E5A7FE" w14:textId="77777777">
      <w:pPr>
        <w:spacing w:line="360" w:lineRule="auto"/>
        <w:ind w:left="312" w:hanging="312" w:hangingChars="130"/>
      </w:pPr>
      <w:r>
        <w:rPr>
          <w:rFonts w:hint="eastAsia"/>
          <w:sz w:val="24"/>
          <w:szCs w:val="24"/>
        </w:rPr>
        <w:t>（</w:t>
      </w:r>
      <w:r>
        <w:rPr>
          <w:sz w:val="24"/>
          <w:szCs w:val="24"/>
        </w:rPr>
        <w:t>2</w:t>
      </w:r>
      <w:r>
        <w:rPr>
          <w:rFonts w:hint="eastAsia"/>
          <w:sz w:val="24"/>
          <w:szCs w:val="24"/>
        </w:rPr>
        <w:t>）在光合作用过程中，</w:t>
      </w:r>
      <w:r>
        <w:rPr>
          <w:sz w:val="24"/>
          <w:szCs w:val="24"/>
        </w:rPr>
        <w:t>C</w:t>
      </w:r>
      <w:r>
        <w:rPr>
          <w:sz w:val="24"/>
          <w:szCs w:val="24"/>
          <w:vertAlign w:val="subscript"/>
        </w:rPr>
        <w:t>4</w:t>
      </w:r>
      <w:r>
        <w:rPr>
          <w:rFonts w:hint="eastAsia"/>
          <w:sz w:val="24"/>
          <w:szCs w:val="24"/>
        </w:rPr>
        <w:t>植物呼吸的</w:t>
      </w:r>
      <w:r>
        <w:rPr>
          <w:sz w:val="24"/>
          <w:szCs w:val="24"/>
        </w:rPr>
        <w:t>CO</w:t>
      </w:r>
      <w:r>
        <w:rPr>
          <w:sz w:val="24"/>
          <w:szCs w:val="24"/>
          <w:vertAlign w:val="subscript"/>
        </w:rPr>
        <w:t>2</w:t>
      </w:r>
      <w:r>
        <w:rPr>
          <w:rFonts w:hint="eastAsia"/>
          <w:sz w:val="24"/>
          <w:szCs w:val="24"/>
        </w:rPr>
        <w:t>被固定后首先形成</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化合物．</w:t>
      </w:r>
    </w:p>
    <w:p w:rsidR="00A91940" w:rsidP="00A91940" w14:paraId="0D6A9351"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C</w:t>
      </w:r>
      <w:r>
        <w:rPr>
          <w:sz w:val="24"/>
          <w:szCs w:val="24"/>
          <w:vertAlign w:val="subscript"/>
        </w:rPr>
        <w:t>3</w:t>
      </w:r>
      <w:r>
        <w:rPr>
          <w:rFonts w:hint="eastAsia"/>
          <w:sz w:val="24"/>
          <w:szCs w:val="24"/>
        </w:rPr>
        <w:t>植物光合作用的暗反应需要光反应阶段产生</w:t>
      </w:r>
      <w:r>
        <w:rPr>
          <w:sz w:val="24"/>
          <w:szCs w:val="24"/>
        </w:rPr>
        <w:t>ATP</w:t>
      </w:r>
      <w:r>
        <w:rPr>
          <w:rFonts w:hint="eastAsia"/>
          <w:sz w:val="24"/>
          <w:szCs w:val="24"/>
        </w:rPr>
        <w:t>和</w:t>
      </w:r>
      <w:r>
        <w:rPr>
          <w:sz w:val="24"/>
          <w:szCs w:val="24"/>
        </w:rPr>
        <w:t>NADPH</w:t>
      </w:r>
      <w:r>
        <w:rPr>
          <w:rFonts w:hint="eastAsia"/>
          <w:sz w:val="24"/>
          <w:szCs w:val="24"/>
        </w:rPr>
        <w:t>，这两种物质在叶绿体内形成的部位是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NADPH</w:t>
      </w:r>
      <w:r>
        <w:rPr>
          <w:rFonts w:hint="eastAsia"/>
          <w:sz w:val="24"/>
          <w:szCs w:val="24"/>
        </w:rPr>
        <w:t>的中文简称是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，其在暗反</w:t>
      </w:r>
      <w:r>
        <w:rPr>
          <w:rFonts w:hint="eastAsia"/>
          <w:sz w:val="24"/>
          <w:szCs w:val="24"/>
        </w:rPr>
        <w:t>应中作为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剂，用于糖类等有机物的形成．</w:t>
      </w:r>
    </w:p>
    <w:p w:rsidR="00A91940" w:rsidP="00A91940" w14:paraId="4CA24E4F" w14:textId="5D455862">
      <w:pPr>
        <w:spacing w:line="360" w:lineRule="auto"/>
        <w:ind w:left="312" w:hanging="312" w:hangingChars="130"/>
      </w:pPr>
      <w:r>
        <w:rPr>
          <w:noProof/>
          <w:sz w:val="24"/>
          <w:szCs w:val="24"/>
        </w:rPr>
        <w:drawing>
          <wp:inline distT="0" distB="0" distL="0" distR="0">
            <wp:extent cx="1409700" cy="14192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9700" cy="1419225"/>
                    </a:xfrm>
                    <a:prstGeom prst="rect">
                      <a:avLst/>
                    </a:prstGeom>
                    <a:noFill/>
                    <a:ln>
                      <a:noFill/>
                    </a:ln>
                  </pic:spPr>
                </pic:pic>
              </a:graphicData>
            </a:graphic>
          </wp:inline>
        </w:drawing>
      </w:r>
    </w:p>
    <w:p w:rsidR="00A91940" w:rsidP="00A91940" w14:paraId="09A31C45" w14:textId="77777777">
      <w:pPr>
        <w:spacing w:line="360" w:lineRule="auto"/>
        <w:ind w:left="312" w:hanging="312" w:hangingChars="130"/>
      </w:pPr>
      <w:r>
        <w:rPr>
          <w:rFonts w:hint="eastAsia"/>
          <w:sz w:val="24"/>
          <w:szCs w:val="24"/>
        </w:rPr>
        <w:t>　</w:t>
      </w:r>
    </w:p>
    <w:p w:rsidR="002F1E5B" w:rsidP="00A91940" w14:paraId="0F8D5630" w14:textId="5180484D">
      <w:r>
        <w:br w:type="page"/>
      </w:r>
    </w:p>
    <w:sectPr>
      <w:footerReference w:type="default" r:id="rId7"/>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5B"/>
    <w:rsid w:val="002F1E5B"/>
    <w:rsid w:val="00A9194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A4D9A126-C59A-49BB-B9D5-6D5DE5B1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1940"/>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