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 New Roman" w:hAnsi="Times New Roman" w:cs="Times New Roman"/>
          <w:sz w:val="30"/>
          <w:sz-cs w:val="30"/>
          <w:b/>
        </w:rPr>
        <w:t xml:space="preserve">2015年北京市高考生物试卷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一、选择题（本部分共5小题，每小题6分，共120分．在每小题列出的四个选项中，选出最符合题目要求的一项．）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1．（6分）乙肝疫苗的有效成分是乙肝病毒的一种抗原。接种该疫苗后，人体会产生相应抗体。该抗体（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A．由T淋巴细胞产生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B．可与多种抗原结合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C．可裂解乙肝病毒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D．可被蛋白酶水解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2．（6分）下列对各种生物大分子合成场所的叙述，正确的是（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A．酵母菌在高尔基体中合成膜蛋白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B．肌细胞在细胞核中合成mRNA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噬菌体在细菌细胞核内合成DNA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D．叶肉细胞在叶绿体外膜上合成淀粉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3．（6分）流式细胞仪可根据细胞中DNA 含量的不同对细胞分别计数．研究者用某抗癌药物处理体外培养的癌细胞，24小时后用流式细胞仪检测，结果如图．对检测结果的分析不正确的是（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> INCLUDEPICTURE "https://gss0.baidu.com/7LsWdDW5_xN3otqbppnN2DJv/baidu/pic/item/3bf33a87e950352a1be96dff5643fbf2b3118bb9.jpg" \* MERGEFORMAT </w:t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A．b峰中细胞的DNA 含量是a峰中的2倍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B．a峰和b峰之间的细胞正进行DNA复制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C．处于分裂期的细胞均被计数在a峰中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D．此抗癌药物抑制了癌细胞DNA的复制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4．（6分）大蚂蚁和小蚂蚁生活在某地相邻的两个区域。研究者在这两个蚂蚁种群生活区域的接触地带设4种处理区，各处理区均设7个10m</w:t>
      </w:r>
      <w:r>
        <w:rPr>
          <w:rFonts w:ascii="Times" w:hAnsi="Times" w:cs="Times"/>
          <w:sz w:val="24"/>
          <w:sz-cs w:val="24"/>
        </w:rPr>
        <w:t xml:space="preserve">×</w:t>
      </w:r>
      <w:r>
        <w:rPr>
          <w:rFonts w:ascii="Times New Roman" w:hAnsi="Times New Roman" w:cs="Times New Roman"/>
          <w:sz w:val="24"/>
          <w:sz-cs w:val="24"/>
        </w:rPr>
        <w:t xml:space="preserve">10m的观测点，每个观测点中设有均匀分布的25处小蚂蚁诱饵投放点。在开始实验后第1天和第85天时分别诱饵上小蚂蚁的出现率并进行比较，结果见表。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处理区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小蚂蚁出现率的变化（% ）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定时灌溉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不驱走大蚂蚁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增加35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驱走大蚂蚁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增加70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不灌溉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不驱走大蚂蚁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减少10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驱走大蚂蚁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减少2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对本研究的实验方法和结果分析，表述错误的是（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A．小蚂蚁抑制大蚂蚁的数量增长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B．采集实验数据的方法是样方法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C．大蚂蚁影响小蚂蚁的活动范围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D．土壤含水量影响小蚂蚁的活动范围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5．（6分）在应用农杆菌侵染植物叶片获得转基因植株的常规实验步骤中，不需要的是（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A．用携带目的基因的农杆菌侵染植物细胞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B．用选择培养基筛选导入目的基因的细胞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C．用聚乙二醇诱导转基因细胞的原生质体融合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D．用适当比例的生长素和细胞分裂素诱导愈伤组织生芽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二、非选择题（本部分共3小题，共180分）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6．（17分）为探索治疗机体对某种药物依赖的有效途径，我国科研人员进行了如下研究．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（1）将大鼠置于自身给药箱中（如图）．当大鼠按压非给药杆时指示灯不亮，药泵不给药；按压给药杆时指示灯亮，药泵通过静脉导管向大鼠注射一定量药物．灯亮时，光刺激大鼠视网膜，引起视神经细胞产生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，传至末梢，释放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，作用于突触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上的受体．信息传至视中枢，产生视觉．多次重复训练后，大量在光信号与给药之间建立联系．当单位时间内大鼠按压给药杆的次数达到一定程度时，即可被视为对该药物形成依赖．以下将这种大鼠简称D鼠．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（2）研究发现，D鼠相关脑区内酶A含量和活性均明显升高．为探讨酶A活性对药物依赖的影响，在两组D鼠相关脑区注射酶A活性抑制剂或生理盐水后，再分别放入自身给药箱，记录单位时间内两组D鼠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．与对照组相比，若抑制剂组的D鼠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，则表明抑制酶A的活性可以降低D鼠对药物的依赖．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研究者设计了一种能与编码酶A的mRNA互补结合的，含22个核苷酸的RNA，它能进入细胞，促进编码酶A的mRNA降解．将这种小RNA用溶剂M溶解后，注射到D鼠相关脑区，引起酶A含量明显下降，D鼠对药物的依赖降低．进行本实验时，要同时进行一个对照处理，将一段小RNA用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（填“生理盐水”或“蒸馏水”或“溶剂M”）溶解，注射到D鼠的相关脑区．这段小RNA的最佳设计为：与实验组使用的小RNA相比，其核苷酸的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（多选，只填序号）．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a．种类相同   b．种类不同       c．数目相同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d．数目不同   e．序列完全相同    f．序列完全不同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若此对照组D鼠相关脑区内酶A含量无明显变化，则可以证明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等因素对实验组结果无影响．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7．（17分）野生型果蝇的腹部和胸部都有短刚毛，而一只突变果蝇S 的腹部却生出长刚毛．研究者对果蝇S的突变进行了系列研究．用这两种果蝇进行杂交实验的结果见图．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（1）根据实验结果分析，果蝇腹部的短刚毛和长刚毛是一对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性状，其中长刚毛是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性性状．图中</w:t>
      </w: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、</w:t>
      </w: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基因型（相关基因用A 和a 表示）依次为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（2）实验2结果显示：与野生型不同的表现型有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种．</w:t>
      </w:r>
      <w:r>
        <w:rPr>
          <w:rFonts w:ascii="Times" w:hAnsi="Times" w:cs="Times"/>
          <w:sz w:val="24"/>
          <w:sz-cs w:val="24"/>
        </w:rPr>
        <w:t xml:space="preserve">③</w:t>
      </w:r>
      <w:r>
        <w:rPr>
          <w:rFonts w:ascii="Times New Roman" w:hAnsi="Times New Roman" w:cs="Times New Roman"/>
          <w:sz w:val="24"/>
          <w:sz-cs w:val="24"/>
        </w:rPr>
        <w:t xml:space="preserve">基因型为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．在实验2后代中该基因型的比例是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（3）根据果蝇</w:t>
      </w:r>
      <w:r>
        <w:rPr>
          <w:rFonts w:ascii="Times" w:hAnsi="Times" w:cs="Times"/>
          <w:sz w:val="24"/>
          <w:sz-cs w:val="24"/>
        </w:rPr>
        <w:t xml:space="preserve">③</w:t>
      </w:r>
      <w:r>
        <w:rPr>
          <w:rFonts w:ascii="Times New Roman" w:hAnsi="Times New Roman" w:cs="Times New Roman"/>
          <w:sz w:val="24"/>
          <w:sz-cs w:val="24"/>
        </w:rPr>
        <w:t xml:space="preserve">和果蝇S基因型的差异，解释导致前者胸部无刚毛、后者胸部有刚毛的原因：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（4）检测发现突变基因转录的mRNA相对分子质量比野生型的小，推测相关基因发生的变化为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（5）实验2中出现的胸部无刚毛的性状不是由F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新发生突变的基因控制的，作出这一判断的理由是：虽然胸部无刚毛是一个新出现的性状，但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，说明控制这个性状的基因不是一个新突变的基因．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8．（16分）研究者用仪器检测拟南芥叶片在光﹣暗转换条件下CO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吸收量的变化，每2s记录一个实验数据并在图中以点的形式呈现．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（1）在开始检测后的200s内，拟南芥叶肉细胞利用光能分解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，同化CO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，而在实验的整个过程中，叶片可通过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将储藏在有机物中稳定的化学能转化为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和热能．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（2）图中显示，拟南芥叶片在照光条件下CO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吸收量在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μmol•m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﹣2</w:t>
      </w:r>
      <w:r>
        <w:rPr>
          <w:rFonts w:ascii="Times New Roman" w:hAnsi="Times New Roman" w:cs="Times New Roman"/>
          <w:sz w:val="24"/>
          <w:sz-cs w:val="24"/>
        </w:rPr>
        <w:t xml:space="preserve">•s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4"/>
          <w:sz-cs w:val="24"/>
        </w:rPr>
        <w:t xml:space="preserve">范围内，在300s时CO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达到2.2μmol•m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﹣2</w:t>
      </w:r>
      <w:r>
        <w:rPr>
          <w:rFonts w:ascii="Times New Roman" w:hAnsi="Times New Roman" w:cs="Times New Roman"/>
          <w:sz w:val="24"/>
          <w:sz-cs w:val="24"/>
        </w:rPr>
        <w:t xml:space="preserve">•s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4"/>
          <w:sz-cs w:val="24"/>
        </w:rPr>
        <w:t xml:space="preserve">．由此得出，叶片的总（真正）光合速率大约是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μmolCO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•m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﹣2</w:t>
      </w:r>
      <w:r>
        <w:rPr>
          <w:rFonts w:ascii="Times New Roman" w:hAnsi="Times New Roman" w:cs="Times New Roman"/>
          <w:sz w:val="24"/>
          <w:sz-cs w:val="24"/>
        </w:rPr>
        <w:t xml:space="preserve">•s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4"/>
          <w:sz-cs w:val="24"/>
        </w:rPr>
        <w:t xml:space="preserve">．（本小题所填数值保留至小数点后一位）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（3）从图中还可看出，在转入黑暗条件下100s以后，叶片的CO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释放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，并达到一个相对稳定的水平，这提示在光下叶片可能存在一个与在黑暗中不同的呼吸过程．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（4）为证明叶片在光下呼吸产生的CO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中的碳元素一部分来自于叶绿体中的五碳化合物，可利用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技术进行研究．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