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rsidR="002A58E6" w:rsidP="002A58E6" w14:paraId="7C8C1573" w14:textId="77777777">
      <w:pPr>
        <w:spacing w:line="360" w:lineRule="auto"/>
        <w:ind w:left="390" w:hanging="390" w:hangingChars="130"/>
        <w:jc w:val="center"/>
      </w:pPr>
      <w:r>
        <w:rPr>
          <w:b/>
          <w:sz w:val="30"/>
          <w:szCs w:val="30"/>
        </w:rPr>
        <w:t>2015</w:t>
      </w:r>
      <w:r>
        <w:rPr>
          <w:rFonts w:hint="eastAsia"/>
          <w:b/>
          <w:sz w:val="30"/>
          <w:szCs w:val="30"/>
        </w:rPr>
        <w:t>年全国统一高考生物试卷（新课标</w:t>
      </w:r>
      <w:r>
        <w:rPr>
          <w:rFonts w:ascii="宋体" w:hAnsi="宋体" w:cs="宋体" w:hint="eastAsia"/>
          <w:b/>
          <w:sz w:val="30"/>
          <w:szCs w:val="30"/>
        </w:rPr>
        <w:t>Ⅰ</w:t>
      </w:r>
      <w:r>
        <w:rPr>
          <w:rFonts w:hint="eastAsia"/>
          <w:b/>
          <w:sz w:val="30"/>
          <w:szCs w:val="30"/>
        </w:rPr>
        <w:t>）</w:t>
      </w:r>
    </w:p>
    <w:p w:rsidR="002A58E6" w:rsidP="002A58E6" w14:paraId="251FE7FF" w14:textId="77777777">
      <w:pPr>
        <w:spacing w:line="360" w:lineRule="auto"/>
        <w:ind w:left="312" w:hanging="312" w:hangingChars="130"/>
      </w:pPr>
      <w:r>
        <w:rPr>
          <w:rFonts w:hint="eastAsia"/>
          <w:b/>
          <w:sz w:val="24"/>
          <w:szCs w:val="24"/>
        </w:rPr>
        <w:t>一、选择题（每小题</w:t>
      </w:r>
      <w:r>
        <w:rPr>
          <w:b/>
          <w:sz w:val="24"/>
          <w:szCs w:val="24"/>
        </w:rPr>
        <w:t>6</w:t>
      </w:r>
      <w:r>
        <w:rPr>
          <w:rFonts w:hint="eastAsia"/>
          <w:b/>
          <w:sz w:val="24"/>
          <w:szCs w:val="24"/>
        </w:rPr>
        <w:t>分）</w:t>
      </w:r>
    </w:p>
    <w:p w:rsidR="002A58E6" w:rsidP="002A58E6" w14:paraId="5413E7FE" w14:textId="77777777">
      <w:pPr>
        <w:spacing w:line="360" w:lineRule="auto"/>
        <w:ind w:left="312" w:hanging="312" w:hangingChars="130"/>
      </w:pPr>
      <w:r>
        <w:rPr>
          <w:sz w:val="24"/>
          <w:szCs w:val="24"/>
        </w:rPr>
        <w:t>1</w:t>
      </w:r>
      <w:r>
        <w:rPr>
          <w:rFonts w:hint="eastAsia"/>
          <w:sz w:val="24"/>
          <w:szCs w:val="24"/>
        </w:rPr>
        <w:t>．（</w:t>
      </w:r>
      <w:r>
        <w:rPr>
          <w:sz w:val="24"/>
          <w:szCs w:val="24"/>
        </w:rPr>
        <w:t>6</w:t>
      </w:r>
      <w:r>
        <w:rPr>
          <w:rFonts w:hint="eastAsia"/>
          <w:sz w:val="24"/>
          <w:szCs w:val="24"/>
        </w:rPr>
        <w:t>分）下列叙述错误的是（　　）</w:t>
      </w:r>
    </w:p>
    <w:p w:rsidR="002A58E6" w:rsidP="002A58E6" w14:paraId="1AB7EA9F" w14:textId="77777777">
      <w:pPr>
        <w:spacing w:line="360" w:lineRule="auto"/>
        <w:ind w:firstLine="312" w:firstLineChars="130"/>
        <w:jc w:val="left"/>
      </w:pPr>
      <w:r>
        <w:rPr>
          <w:sz w:val="24"/>
          <w:szCs w:val="24"/>
        </w:rPr>
        <w:t>A</w:t>
      </w:r>
      <w:r>
        <w:rPr>
          <w:rFonts w:hint="eastAsia"/>
          <w:sz w:val="24"/>
          <w:szCs w:val="24"/>
        </w:rPr>
        <w:t>．</w:t>
      </w:r>
      <w:r>
        <w:rPr>
          <w:sz w:val="24"/>
          <w:szCs w:val="24"/>
        </w:rPr>
        <w:t>DNA</w:t>
      </w:r>
      <w:r>
        <w:rPr>
          <w:rFonts w:hint="eastAsia"/>
          <w:sz w:val="24"/>
          <w:szCs w:val="24"/>
        </w:rPr>
        <w:t>与</w:t>
      </w:r>
      <w:r>
        <w:rPr>
          <w:sz w:val="24"/>
          <w:szCs w:val="24"/>
        </w:rPr>
        <w:t>ATP</w:t>
      </w:r>
      <w:r>
        <w:rPr>
          <w:rFonts w:hint="eastAsia"/>
          <w:sz w:val="24"/>
          <w:szCs w:val="24"/>
        </w:rPr>
        <w:t>中所含元素的种类相同</w:t>
      </w:r>
      <w:r>
        <w:tab/>
      </w:r>
    </w:p>
    <w:p w:rsidR="002A58E6" w:rsidP="002A58E6" w14:paraId="1CB08618" w14:textId="77777777">
      <w:pPr>
        <w:spacing w:line="360" w:lineRule="auto"/>
        <w:ind w:firstLine="312" w:firstLineChars="130"/>
        <w:jc w:val="left"/>
      </w:pPr>
      <w:r>
        <w:rPr>
          <w:sz w:val="24"/>
          <w:szCs w:val="24"/>
        </w:rPr>
        <w:t>B</w:t>
      </w:r>
      <w:r>
        <w:rPr>
          <w:rFonts w:hint="eastAsia"/>
          <w:sz w:val="24"/>
          <w:szCs w:val="24"/>
        </w:rPr>
        <w:t>．一个</w:t>
      </w:r>
      <w:r>
        <w:rPr>
          <w:sz w:val="24"/>
          <w:szCs w:val="24"/>
        </w:rPr>
        <w:t>tRNA</w:t>
      </w:r>
      <w:r>
        <w:rPr>
          <w:rFonts w:hint="eastAsia"/>
          <w:sz w:val="24"/>
          <w:szCs w:val="24"/>
        </w:rPr>
        <w:t>分子中只有一个反密码子</w:t>
      </w:r>
      <w:r>
        <w:tab/>
      </w:r>
    </w:p>
    <w:p w:rsidR="002A58E6" w:rsidP="002A58E6" w14:paraId="3B150044" w14:textId="77777777">
      <w:pPr>
        <w:spacing w:line="360" w:lineRule="auto"/>
        <w:ind w:firstLine="312" w:firstLineChars="130"/>
        <w:jc w:val="left"/>
      </w:pPr>
      <w:r>
        <w:rPr>
          <w:sz w:val="24"/>
          <w:szCs w:val="24"/>
        </w:rPr>
        <w:t>C</w:t>
      </w:r>
      <w:r>
        <w:rPr>
          <w:rFonts w:hint="eastAsia"/>
          <w:sz w:val="24"/>
          <w:szCs w:val="24"/>
        </w:rPr>
        <w:t>．</w:t>
      </w:r>
      <w:r>
        <w:rPr>
          <w:sz w:val="24"/>
          <w:szCs w:val="24"/>
        </w:rPr>
        <w:t>T</w:t>
      </w:r>
      <w:r>
        <w:rPr>
          <w:sz w:val="24"/>
          <w:szCs w:val="24"/>
          <w:vertAlign w:val="subscript"/>
        </w:rPr>
        <w:t>2</w:t>
      </w:r>
      <w:r>
        <w:rPr>
          <w:rFonts w:hint="eastAsia"/>
          <w:sz w:val="24"/>
          <w:szCs w:val="24"/>
        </w:rPr>
        <w:t>噬菌体的核酸由脱氧核糖核苷酸组成</w:t>
      </w:r>
      <w:r>
        <w:tab/>
      </w:r>
    </w:p>
    <w:p w:rsidR="002A58E6" w:rsidP="002A58E6" w14:paraId="2FB7F75D" w14:textId="77777777">
      <w:pPr>
        <w:spacing w:line="360" w:lineRule="auto"/>
        <w:ind w:firstLine="312" w:firstLineChars="130"/>
        <w:jc w:val="left"/>
      </w:pPr>
      <w:r>
        <w:rPr>
          <w:sz w:val="24"/>
          <w:szCs w:val="24"/>
        </w:rPr>
        <w:t>D</w:t>
      </w:r>
      <w:r>
        <w:rPr>
          <w:rFonts w:hint="eastAsia"/>
          <w:sz w:val="24"/>
          <w:szCs w:val="24"/>
        </w:rPr>
        <w:t>．控制细菌性状的基因位于拟核和线粒体中的</w:t>
      </w:r>
      <w:r>
        <w:rPr>
          <w:sz w:val="24"/>
          <w:szCs w:val="24"/>
        </w:rPr>
        <w:t>DNA</w:t>
      </w:r>
      <w:r>
        <w:rPr>
          <w:rFonts w:hint="eastAsia"/>
          <w:sz w:val="24"/>
          <w:szCs w:val="24"/>
        </w:rPr>
        <w:t>上</w:t>
      </w:r>
      <w:r>
        <w:tab/>
      </w:r>
    </w:p>
    <w:p w:rsidR="002A58E6" w:rsidP="002A58E6" w14:paraId="3F996947" w14:textId="77777777">
      <w:pPr>
        <w:spacing w:line="360" w:lineRule="auto"/>
        <w:ind w:left="312" w:hanging="312" w:hangingChars="130"/>
      </w:pPr>
      <w:r>
        <w:rPr>
          <w:sz w:val="24"/>
          <w:szCs w:val="24"/>
        </w:rPr>
        <w:t>2</w:t>
      </w:r>
      <w:r>
        <w:rPr>
          <w:rFonts w:hint="eastAsia"/>
          <w:sz w:val="24"/>
          <w:szCs w:val="24"/>
        </w:rPr>
        <w:t>．（</w:t>
      </w:r>
      <w:r>
        <w:rPr>
          <w:sz w:val="24"/>
          <w:szCs w:val="24"/>
        </w:rPr>
        <w:t>6</w:t>
      </w:r>
      <w:r>
        <w:rPr>
          <w:rFonts w:hint="eastAsia"/>
          <w:sz w:val="24"/>
          <w:szCs w:val="24"/>
        </w:rPr>
        <w:t>分）下列关于植物生长素的叙述，错误的是（　　）</w:t>
      </w:r>
    </w:p>
    <w:p w:rsidR="002A58E6" w:rsidP="002A58E6" w14:paraId="7B688EFF" w14:textId="77777777">
      <w:pPr>
        <w:spacing w:line="360" w:lineRule="auto"/>
        <w:ind w:firstLine="312" w:firstLineChars="130"/>
        <w:jc w:val="left"/>
      </w:pPr>
      <w:r>
        <w:rPr>
          <w:sz w:val="24"/>
          <w:szCs w:val="24"/>
        </w:rPr>
        <w:t>A</w:t>
      </w:r>
      <w:r>
        <w:rPr>
          <w:rFonts w:hint="eastAsia"/>
          <w:sz w:val="24"/>
          <w:szCs w:val="24"/>
        </w:rPr>
        <w:t>．植物幼嫩叶片中的色氨酸可转变为生长素</w:t>
      </w:r>
      <w:r>
        <w:tab/>
      </w:r>
    </w:p>
    <w:p w:rsidR="002A58E6" w:rsidP="002A58E6" w14:paraId="7542D467" w14:textId="77777777">
      <w:pPr>
        <w:spacing w:line="360" w:lineRule="auto"/>
        <w:ind w:firstLine="312" w:firstLineChars="130"/>
        <w:jc w:val="left"/>
      </w:pPr>
      <w:r>
        <w:rPr>
          <w:sz w:val="24"/>
          <w:szCs w:val="24"/>
        </w:rPr>
        <w:t>B</w:t>
      </w:r>
      <w:r>
        <w:rPr>
          <w:rFonts w:hint="eastAsia"/>
          <w:sz w:val="24"/>
          <w:szCs w:val="24"/>
        </w:rPr>
        <w:t>．成熟茎韧皮部中的生长素可以进行非极性运输</w:t>
      </w:r>
      <w:r>
        <w:tab/>
      </w:r>
    </w:p>
    <w:p w:rsidR="002A58E6" w:rsidP="002A58E6" w14:paraId="1FDB78B8" w14:textId="77777777">
      <w:pPr>
        <w:spacing w:line="360" w:lineRule="auto"/>
        <w:ind w:firstLine="312" w:firstLineChars="130"/>
        <w:jc w:val="left"/>
      </w:pPr>
      <w:r>
        <w:rPr>
          <w:sz w:val="24"/>
          <w:szCs w:val="24"/>
        </w:rPr>
        <w:t>C</w:t>
      </w:r>
      <w:r>
        <w:rPr>
          <w:rFonts w:hint="eastAsia"/>
          <w:sz w:val="24"/>
          <w:szCs w:val="24"/>
        </w:rPr>
        <w:t>．幼嫩细胞和成熟细胞对生长素的敏感程度相同</w:t>
      </w:r>
      <w:r>
        <w:tab/>
      </w:r>
    </w:p>
    <w:p w:rsidR="002A58E6" w:rsidP="002A58E6" w14:paraId="41B2E3B7" w14:textId="77777777">
      <w:pPr>
        <w:spacing w:line="360" w:lineRule="auto"/>
        <w:ind w:firstLine="312" w:firstLineChars="130"/>
        <w:jc w:val="left"/>
      </w:pPr>
      <w:r>
        <w:rPr>
          <w:sz w:val="24"/>
          <w:szCs w:val="24"/>
        </w:rPr>
        <w:t>D</w:t>
      </w:r>
      <w:r>
        <w:rPr>
          <w:rFonts w:hint="eastAsia"/>
          <w:sz w:val="24"/>
          <w:szCs w:val="24"/>
        </w:rPr>
        <w:t>．豌豆幼苗切段中乙烯的合成受生长素浓度的影响</w:t>
      </w:r>
      <w:r>
        <w:tab/>
      </w:r>
    </w:p>
    <w:p w:rsidR="002A58E6" w:rsidP="002A58E6" w14:paraId="06D6B827" w14:textId="77777777">
      <w:pPr>
        <w:spacing w:line="360" w:lineRule="auto"/>
        <w:ind w:left="312" w:hanging="312" w:hangingChars="130"/>
      </w:pPr>
      <w:r>
        <w:rPr>
          <w:sz w:val="24"/>
          <w:szCs w:val="24"/>
        </w:rPr>
        <w:t>3</w:t>
      </w:r>
      <w:r>
        <w:rPr>
          <w:rFonts w:hint="eastAsia"/>
          <w:sz w:val="24"/>
          <w:szCs w:val="24"/>
        </w:rPr>
        <w:t>．（</w:t>
      </w:r>
      <w:r>
        <w:rPr>
          <w:sz w:val="24"/>
          <w:szCs w:val="24"/>
        </w:rPr>
        <w:t>6</w:t>
      </w:r>
      <w:r>
        <w:rPr>
          <w:rFonts w:hint="eastAsia"/>
          <w:sz w:val="24"/>
          <w:szCs w:val="24"/>
        </w:rPr>
        <w:t>分）某同学给健康实验兔静脉滴注</w:t>
      </w:r>
      <w:r>
        <w:rPr>
          <w:sz w:val="24"/>
          <w:szCs w:val="24"/>
        </w:rPr>
        <w:t>0.9%</w:t>
      </w:r>
      <w:r>
        <w:rPr>
          <w:rFonts w:hint="eastAsia"/>
          <w:sz w:val="24"/>
          <w:szCs w:val="24"/>
        </w:rPr>
        <w:t>的</w:t>
      </w:r>
      <w:r>
        <w:rPr>
          <w:sz w:val="24"/>
          <w:szCs w:val="24"/>
        </w:rPr>
        <w:t>NaCl</w:t>
      </w:r>
      <w:r>
        <w:rPr>
          <w:rFonts w:hint="eastAsia"/>
          <w:sz w:val="24"/>
          <w:szCs w:val="24"/>
        </w:rPr>
        <w:t>溶液（生理盐水）</w:t>
      </w:r>
      <w:r>
        <w:rPr>
          <w:sz w:val="24"/>
          <w:szCs w:val="24"/>
        </w:rPr>
        <w:t>20mL</w:t>
      </w:r>
      <w:r>
        <w:rPr>
          <w:rFonts w:hint="eastAsia"/>
          <w:sz w:val="24"/>
          <w:szCs w:val="24"/>
        </w:rPr>
        <w:t>后，会出现的现象是（　　）</w:t>
      </w:r>
    </w:p>
    <w:p w:rsidR="002A58E6" w:rsidP="002A58E6" w14:paraId="76636D62" w14:textId="77777777">
      <w:pPr>
        <w:spacing w:line="360" w:lineRule="auto"/>
        <w:ind w:firstLine="312" w:firstLineChars="130"/>
        <w:jc w:val="left"/>
      </w:pPr>
      <w:r>
        <w:rPr>
          <w:sz w:val="24"/>
          <w:szCs w:val="24"/>
        </w:rPr>
        <w:t>A</w:t>
      </w:r>
      <w:r>
        <w:rPr>
          <w:rFonts w:hint="eastAsia"/>
          <w:sz w:val="24"/>
          <w:szCs w:val="24"/>
        </w:rPr>
        <w:t>．输入的溶液会从血浆进入组织液</w:t>
      </w:r>
      <w:r>
        <w:tab/>
      </w:r>
    </w:p>
    <w:p w:rsidR="002A58E6" w:rsidP="002A58E6" w14:paraId="5F6831CD" w14:textId="77777777">
      <w:pPr>
        <w:spacing w:line="360" w:lineRule="auto"/>
        <w:ind w:firstLine="312" w:firstLineChars="130"/>
        <w:jc w:val="left"/>
      </w:pPr>
      <w:r>
        <w:rPr>
          <w:sz w:val="24"/>
          <w:szCs w:val="24"/>
        </w:rPr>
        <w:t>B</w:t>
      </w:r>
      <w:r>
        <w:rPr>
          <w:rFonts w:hint="eastAsia"/>
          <w:sz w:val="24"/>
          <w:szCs w:val="24"/>
        </w:rPr>
        <w:t>．细胞内液和细胞外液分别增加</w:t>
      </w:r>
      <w:r>
        <w:rPr>
          <w:sz w:val="24"/>
          <w:szCs w:val="24"/>
        </w:rPr>
        <w:t>10mL</w:t>
      </w:r>
      <w:r>
        <w:tab/>
      </w:r>
    </w:p>
    <w:p w:rsidR="002A58E6" w:rsidP="002A58E6" w14:paraId="3B4B6036" w14:textId="77777777">
      <w:pPr>
        <w:spacing w:line="360" w:lineRule="auto"/>
        <w:ind w:firstLine="312" w:firstLineChars="130"/>
        <w:jc w:val="left"/>
      </w:pPr>
      <w:r>
        <w:rPr>
          <w:sz w:val="24"/>
          <w:szCs w:val="24"/>
        </w:rPr>
        <w:t>C</w:t>
      </w:r>
      <w:r>
        <w:rPr>
          <w:rFonts w:hint="eastAsia"/>
          <w:sz w:val="24"/>
          <w:szCs w:val="24"/>
        </w:rPr>
        <w:t>．细胞内液</w:t>
      </w:r>
      <w:r>
        <w:rPr>
          <w:sz w:val="24"/>
          <w:szCs w:val="24"/>
        </w:rPr>
        <w:t>Na</w:t>
      </w:r>
      <w:r>
        <w:rPr>
          <w:rFonts w:ascii="宋体" w:hAnsi="宋体" w:hint="eastAsia"/>
          <w:sz w:val="24"/>
          <w:szCs w:val="24"/>
          <w:vertAlign w:val="superscript"/>
        </w:rPr>
        <w:t>+</w:t>
      </w:r>
      <w:r>
        <w:rPr>
          <w:rFonts w:hint="eastAsia"/>
          <w:sz w:val="24"/>
          <w:szCs w:val="24"/>
        </w:rPr>
        <w:t>的增加远大于细胞外液</w:t>
      </w:r>
      <w:r>
        <w:rPr>
          <w:sz w:val="24"/>
          <w:szCs w:val="24"/>
        </w:rPr>
        <w:t>Na</w:t>
      </w:r>
      <w:r>
        <w:rPr>
          <w:rFonts w:ascii="宋体" w:hAnsi="宋体" w:hint="eastAsia"/>
          <w:sz w:val="24"/>
          <w:szCs w:val="24"/>
          <w:vertAlign w:val="superscript"/>
        </w:rPr>
        <w:t>+</w:t>
      </w:r>
      <w:r>
        <w:rPr>
          <w:rFonts w:hint="eastAsia"/>
          <w:sz w:val="24"/>
          <w:szCs w:val="24"/>
        </w:rPr>
        <w:t>的增加</w:t>
      </w:r>
      <w:r>
        <w:tab/>
      </w:r>
    </w:p>
    <w:p w:rsidR="002A58E6" w:rsidP="002A58E6" w14:paraId="55B6D02E" w14:textId="77777777">
      <w:pPr>
        <w:spacing w:line="360" w:lineRule="auto"/>
        <w:ind w:firstLine="312" w:firstLineChars="130"/>
        <w:jc w:val="left"/>
      </w:pPr>
      <w:r>
        <w:rPr>
          <w:sz w:val="24"/>
          <w:szCs w:val="24"/>
        </w:rPr>
        <w:t>D</w:t>
      </w:r>
      <w:r>
        <w:rPr>
          <w:rFonts w:hint="eastAsia"/>
          <w:sz w:val="24"/>
          <w:szCs w:val="24"/>
        </w:rPr>
        <w:t>．输入的</w:t>
      </w:r>
      <w:r>
        <w:rPr>
          <w:sz w:val="24"/>
          <w:szCs w:val="24"/>
        </w:rPr>
        <w:t>Na</w:t>
      </w:r>
      <w:r>
        <w:rPr>
          <w:rFonts w:ascii="宋体" w:hAnsi="宋体" w:hint="eastAsia"/>
          <w:sz w:val="24"/>
          <w:szCs w:val="24"/>
          <w:vertAlign w:val="superscript"/>
        </w:rPr>
        <w:t>+</w:t>
      </w:r>
      <w:r>
        <w:rPr>
          <w:rFonts w:hint="eastAsia"/>
          <w:sz w:val="24"/>
          <w:szCs w:val="24"/>
        </w:rPr>
        <w:t>中</w:t>
      </w:r>
      <w:r>
        <w:rPr>
          <w:sz w:val="24"/>
          <w:szCs w:val="24"/>
        </w:rPr>
        <w:t>50%</w:t>
      </w:r>
      <w:r>
        <w:rPr>
          <w:rFonts w:hint="eastAsia"/>
          <w:sz w:val="24"/>
          <w:szCs w:val="24"/>
        </w:rPr>
        <w:t>进入细胞内液，</w:t>
      </w:r>
      <w:r>
        <w:rPr>
          <w:sz w:val="24"/>
          <w:szCs w:val="24"/>
        </w:rPr>
        <w:t>50%</w:t>
      </w:r>
      <w:r>
        <w:rPr>
          <w:rFonts w:hint="eastAsia"/>
          <w:sz w:val="24"/>
          <w:szCs w:val="24"/>
        </w:rPr>
        <w:t>分布在细胞外液</w:t>
      </w:r>
      <w:r>
        <w:tab/>
      </w:r>
    </w:p>
    <w:p w:rsidR="002A58E6" w:rsidP="002A58E6" w14:paraId="615D695F" w14:textId="77777777">
      <w:pPr>
        <w:spacing w:line="360" w:lineRule="auto"/>
        <w:ind w:left="312" w:hanging="312" w:hangingChars="130"/>
      </w:pPr>
      <w:r>
        <w:rPr>
          <w:sz w:val="24"/>
          <w:szCs w:val="24"/>
        </w:rPr>
        <w:t>4</w:t>
      </w:r>
      <w:r>
        <w:rPr>
          <w:rFonts w:hint="eastAsia"/>
          <w:sz w:val="24"/>
          <w:szCs w:val="24"/>
        </w:rPr>
        <w:t>．（</w:t>
      </w:r>
      <w:r>
        <w:rPr>
          <w:sz w:val="24"/>
          <w:szCs w:val="24"/>
        </w:rPr>
        <w:t>6</w:t>
      </w:r>
      <w:r>
        <w:rPr>
          <w:rFonts w:hint="eastAsia"/>
          <w:sz w:val="24"/>
          <w:szCs w:val="24"/>
        </w:rPr>
        <w:t>分）下列关于初生演替中草本阶段和灌木阶段的叙述，正确的是（　　）</w:t>
      </w:r>
    </w:p>
    <w:p w:rsidR="002A58E6" w:rsidP="002A58E6" w14:paraId="57A05A98" w14:textId="77777777">
      <w:pPr>
        <w:spacing w:line="360" w:lineRule="auto"/>
        <w:ind w:firstLine="312" w:firstLineChars="130"/>
        <w:jc w:val="left"/>
      </w:pPr>
      <w:r>
        <w:rPr>
          <w:sz w:val="24"/>
          <w:szCs w:val="24"/>
        </w:rPr>
        <w:t>A</w:t>
      </w:r>
      <w:r>
        <w:rPr>
          <w:rFonts w:hint="eastAsia"/>
          <w:sz w:val="24"/>
          <w:szCs w:val="24"/>
        </w:rPr>
        <w:t>．草本阶段与灌木阶段群落的丰富度相同</w:t>
      </w:r>
      <w:r>
        <w:tab/>
      </w:r>
    </w:p>
    <w:p w:rsidR="002A58E6" w:rsidP="002A58E6" w14:paraId="3DC06770" w14:textId="77777777">
      <w:pPr>
        <w:spacing w:line="360" w:lineRule="auto"/>
        <w:ind w:firstLine="312" w:firstLineChars="130"/>
        <w:jc w:val="left"/>
      </w:pPr>
      <w:r>
        <w:rPr>
          <w:sz w:val="24"/>
          <w:szCs w:val="24"/>
        </w:rPr>
        <w:t>B</w:t>
      </w:r>
      <w:r>
        <w:rPr>
          <w:rFonts w:hint="eastAsia"/>
          <w:sz w:val="24"/>
          <w:szCs w:val="24"/>
        </w:rPr>
        <w:t>．草本阶段比灌木阶段的群落空间结构复杂</w:t>
      </w:r>
      <w:r>
        <w:tab/>
      </w:r>
    </w:p>
    <w:p w:rsidR="002A58E6" w:rsidP="002A58E6" w14:paraId="194D14F2" w14:textId="77777777">
      <w:pPr>
        <w:spacing w:line="360" w:lineRule="auto"/>
        <w:ind w:firstLine="312" w:firstLineChars="130"/>
        <w:jc w:val="left"/>
      </w:pPr>
      <w:r>
        <w:rPr>
          <w:sz w:val="24"/>
          <w:szCs w:val="24"/>
        </w:rPr>
        <w:t>C</w:t>
      </w:r>
      <w:r>
        <w:rPr>
          <w:rFonts w:hint="eastAsia"/>
          <w:sz w:val="24"/>
          <w:szCs w:val="24"/>
        </w:rPr>
        <w:t>．草本阶段比灌木阶段的群落自我调节能力强</w:t>
      </w:r>
      <w:r>
        <w:tab/>
      </w:r>
    </w:p>
    <w:p w:rsidR="002A58E6" w:rsidP="002A58E6" w14:paraId="3D2958E9" w14:textId="77777777">
      <w:pPr>
        <w:spacing w:line="360" w:lineRule="auto"/>
        <w:ind w:firstLine="312" w:firstLineChars="130"/>
        <w:jc w:val="left"/>
      </w:pPr>
      <w:r>
        <w:rPr>
          <w:sz w:val="24"/>
          <w:szCs w:val="24"/>
        </w:rPr>
        <w:t>D</w:t>
      </w:r>
      <w:r>
        <w:rPr>
          <w:rFonts w:hint="eastAsia"/>
          <w:sz w:val="24"/>
          <w:szCs w:val="24"/>
        </w:rPr>
        <w:t>．草本阶段为灌木阶段的群落形成创造了适宜环境</w:t>
      </w:r>
      <w:r>
        <w:tab/>
      </w:r>
    </w:p>
    <w:p w:rsidR="002A58E6" w:rsidP="002A58E6" w14:paraId="7644CA0B" w14:textId="77777777">
      <w:pPr>
        <w:spacing w:line="360" w:lineRule="auto"/>
        <w:ind w:left="312" w:hanging="312" w:hangingChars="130"/>
      </w:pPr>
      <w:r>
        <w:rPr>
          <w:sz w:val="24"/>
          <w:szCs w:val="24"/>
        </w:rPr>
        <w:t>5</w:t>
      </w:r>
      <w:r>
        <w:rPr>
          <w:rFonts w:hint="eastAsia"/>
          <w:sz w:val="24"/>
          <w:szCs w:val="24"/>
        </w:rPr>
        <w:t>．（</w:t>
      </w:r>
      <w:r>
        <w:rPr>
          <w:sz w:val="24"/>
          <w:szCs w:val="24"/>
        </w:rPr>
        <w:t>6</w:t>
      </w:r>
      <w:r>
        <w:rPr>
          <w:rFonts w:hint="eastAsia"/>
          <w:sz w:val="24"/>
          <w:szCs w:val="24"/>
        </w:rPr>
        <w:t>分）人或动物</w:t>
      </w:r>
      <w:r>
        <w:rPr>
          <w:sz w:val="24"/>
          <w:szCs w:val="24"/>
        </w:rPr>
        <w:t>PrP</w:t>
      </w:r>
      <w:r>
        <w:rPr>
          <w:rFonts w:hint="eastAsia"/>
          <w:sz w:val="24"/>
          <w:szCs w:val="24"/>
        </w:rPr>
        <w:t>基因编码一种蛋白（</w:t>
      </w:r>
      <w:r>
        <w:rPr>
          <w:sz w:val="24"/>
          <w:szCs w:val="24"/>
        </w:rPr>
        <w:t>PrP</w:t>
      </w:r>
      <w:r>
        <w:rPr>
          <w:sz w:val="24"/>
          <w:szCs w:val="24"/>
          <w:vertAlign w:val="superscript"/>
        </w:rPr>
        <w:t>c</w:t>
      </w:r>
      <w:r>
        <w:rPr>
          <w:rFonts w:hint="eastAsia"/>
          <w:sz w:val="24"/>
          <w:szCs w:val="24"/>
        </w:rPr>
        <w:t>），该蛋白无致病性．</w:t>
      </w:r>
      <w:r>
        <w:rPr>
          <w:sz w:val="24"/>
          <w:szCs w:val="24"/>
        </w:rPr>
        <w:t>PrP</w:t>
      </w:r>
      <w:r>
        <w:rPr>
          <w:sz w:val="24"/>
          <w:szCs w:val="24"/>
          <w:vertAlign w:val="superscript"/>
        </w:rPr>
        <w:t>c</w:t>
      </w:r>
      <w:r>
        <w:rPr>
          <w:rFonts w:hint="eastAsia"/>
          <w:sz w:val="24"/>
          <w:szCs w:val="24"/>
        </w:rPr>
        <w:t>的空间结构改变后成为</w:t>
      </w:r>
      <w:r>
        <w:rPr>
          <w:sz w:val="24"/>
          <w:szCs w:val="24"/>
        </w:rPr>
        <w:t>PrP</w:t>
      </w:r>
      <w:r>
        <w:rPr>
          <w:sz w:val="24"/>
          <w:szCs w:val="24"/>
          <w:vertAlign w:val="superscript"/>
        </w:rPr>
        <w:t>sc</w:t>
      </w:r>
      <w:r>
        <w:rPr>
          <w:rFonts w:hint="eastAsia"/>
          <w:sz w:val="24"/>
          <w:szCs w:val="24"/>
        </w:rPr>
        <w:t>（朊粒），就具有了致病性，</w:t>
      </w:r>
      <w:r>
        <w:rPr>
          <w:sz w:val="24"/>
          <w:szCs w:val="24"/>
        </w:rPr>
        <w:t>PrP</w:t>
      </w:r>
      <w:r>
        <w:rPr>
          <w:sz w:val="24"/>
          <w:szCs w:val="24"/>
          <w:vertAlign w:val="superscript"/>
        </w:rPr>
        <w:t>sc</w:t>
      </w:r>
      <w:r>
        <w:rPr>
          <w:rFonts w:hint="eastAsia"/>
          <w:sz w:val="24"/>
          <w:szCs w:val="24"/>
        </w:rPr>
        <w:t>可以诱导更多的</w:t>
      </w:r>
      <w:r>
        <w:rPr>
          <w:sz w:val="24"/>
          <w:szCs w:val="24"/>
        </w:rPr>
        <w:t>PrP</w:t>
      </w:r>
      <w:r>
        <w:rPr>
          <w:sz w:val="24"/>
          <w:szCs w:val="24"/>
          <w:vertAlign w:val="superscript"/>
        </w:rPr>
        <w:t>c</w:t>
      </w:r>
      <w:r>
        <w:rPr>
          <w:rFonts w:hint="eastAsia"/>
          <w:sz w:val="24"/>
          <w:szCs w:val="24"/>
        </w:rPr>
        <w:t>转变为</w:t>
      </w:r>
      <w:r>
        <w:rPr>
          <w:sz w:val="24"/>
          <w:szCs w:val="24"/>
        </w:rPr>
        <w:t>PrP</w:t>
      </w:r>
      <w:r>
        <w:rPr>
          <w:sz w:val="24"/>
          <w:szCs w:val="24"/>
          <w:vertAlign w:val="superscript"/>
        </w:rPr>
        <w:t>sc</w:t>
      </w:r>
      <w:r>
        <w:rPr>
          <w:rFonts w:hint="eastAsia"/>
          <w:sz w:val="24"/>
          <w:szCs w:val="24"/>
        </w:rPr>
        <w:t>，实现朊粒的增殖，可以引起疯牛病，据此判断，下列叙述正确的是（　　）</w:t>
      </w:r>
    </w:p>
    <w:p w:rsidR="002A58E6" w:rsidP="002A58E6" w14:paraId="4807FB50" w14:textId="77777777">
      <w:pPr>
        <w:spacing w:line="360" w:lineRule="auto"/>
        <w:ind w:firstLine="312" w:firstLineChars="130"/>
        <w:jc w:val="left"/>
      </w:pPr>
      <w:r>
        <w:rPr>
          <w:sz w:val="24"/>
          <w:szCs w:val="24"/>
        </w:rPr>
        <w:t>A</w:t>
      </w:r>
      <w:r>
        <w:rPr>
          <w:rFonts w:hint="eastAsia"/>
          <w:sz w:val="24"/>
          <w:szCs w:val="24"/>
        </w:rPr>
        <w:t>．朊粒侵入机体后可整合到宿主的基因组中</w:t>
      </w:r>
      <w:r>
        <w:tab/>
      </w:r>
    </w:p>
    <w:p w:rsidR="002A58E6" w:rsidP="002A58E6" w14:paraId="7540F484" w14:textId="77777777">
      <w:pPr>
        <w:spacing w:line="360" w:lineRule="auto"/>
        <w:ind w:firstLine="312" w:firstLineChars="130"/>
        <w:jc w:val="left"/>
      </w:pPr>
      <w:r>
        <w:rPr>
          <w:sz w:val="24"/>
          <w:szCs w:val="24"/>
        </w:rPr>
        <w:t>B</w:t>
      </w:r>
      <w:r>
        <w:rPr>
          <w:rFonts w:hint="eastAsia"/>
          <w:sz w:val="24"/>
          <w:szCs w:val="24"/>
        </w:rPr>
        <w:t>．朊粒的增殖方式与肺炎双球菌的增殖方式相同</w:t>
      </w:r>
      <w:r>
        <w:tab/>
      </w:r>
    </w:p>
    <w:p w:rsidR="002A58E6" w:rsidP="002A58E6" w14:paraId="57F15E98" w14:textId="77777777">
      <w:pPr>
        <w:spacing w:line="360" w:lineRule="auto"/>
        <w:ind w:firstLine="312" w:firstLineChars="130"/>
        <w:jc w:val="left"/>
      </w:pPr>
      <w:r>
        <w:rPr>
          <w:sz w:val="24"/>
          <w:szCs w:val="24"/>
        </w:rPr>
        <w:t>C</w:t>
      </w:r>
      <w:r>
        <w:rPr>
          <w:rFonts w:hint="eastAsia"/>
          <w:sz w:val="24"/>
          <w:szCs w:val="24"/>
        </w:rPr>
        <w:t>．蛋白质空间结构的改变可以使其功能发生变化</w:t>
      </w:r>
      <w:r>
        <w:tab/>
      </w:r>
    </w:p>
    <w:p w:rsidR="002A58E6" w:rsidP="002A58E6" w14:paraId="61C6C3C2" w14:textId="77777777">
      <w:pPr>
        <w:spacing w:line="360" w:lineRule="auto"/>
        <w:ind w:firstLine="312" w:firstLineChars="130"/>
        <w:jc w:val="left"/>
      </w:pPr>
      <w:r>
        <w:rPr>
          <w:sz w:val="24"/>
          <w:szCs w:val="24"/>
        </w:rPr>
        <w:t>D</w:t>
      </w:r>
      <w:r>
        <w:rPr>
          <w:rFonts w:hint="eastAsia"/>
          <w:sz w:val="24"/>
          <w:szCs w:val="24"/>
        </w:rPr>
        <w:t>．</w:t>
      </w:r>
      <w:r>
        <w:rPr>
          <w:sz w:val="24"/>
          <w:szCs w:val="24"/>
        </w:rPr>
        <w:t>PrP</w:t>
      </w:r>
      <w:r>
        <w:rPr>
          <w:sz w:val="24"/>
          <w:szCs w:val="24"/>
          <w:vertAlign w:val="superscript"/>
        </w:rPr>
        <w:t>c</w:t>
      </w:r>
      <w:r>
        <w:rPr>
          <w:rFonts w:hint="eastAsia"/>
          <w:sz w:val="24"/>
          <w:szCs w:val="24"/>
        </w:rPr>
        <w:t>转变为</w:t>
      </w:r>
      <w:r>
        <w:rPr>
          <w:sz w:val="24"/>
          <w:szCs w:val="24"/>
        </w:rPr>
        <w:t>PrP</w:t>
      </w:r>
      <w:r>
        <w:rPr>
          <w:sz w:val="24"/>
          <w:szCs w:val="24"/>
          <w:vertAlign w:val="superscript"/>
        </w:rPr>
        <w:t>sc</w:t>
      </w:r>
      <w:r>
        <w:rPr>
          <w:rFonts w:hint="eastAsia"/>
          <w:sz w:val="24"/>
          <w:szCs w:val="24"/>
        </w:rPr>
        <w:t>的过程属于遗传信息的翻译过程</w:t>
      </w:r>
      <w:r>
        <w:tab/>
      </w:r>
    </w:p>
    <w:p w:rsidR="002A58E6" w:rsidP="002A58E6" w14:paraId="2150E1D0" w14:textId="77777777">
      <w:pPr>
        <w:spacing w:line="360" w:lineRule="auto"/>
        <w:ind w:left="312" w:hanging="312" w:hangingChars="130"/>
      </w:pPr>
      <w:r>
        <w:rPr>
          <w:sz w:val="24"/>
          <w:szCs w:val="24"/>
        </w:rPr>
        <w:t>6</w:t>
      </w:r>
      <w:r>
        <w:rPr>
          <w:rFonts w:hint="eastAsia"/>
          <w:sz w:val="24"/>
          <w:szCs w:val="24"/>
        </w:rPr>
        <w:t>．（</w:t>
      </w:r>
      <w:r>
        <w:rPr>
          <w:sz w:val="24"/>
          <w:szCs w:val="24"/>
        </w:rPr>
        <w:t>6</w:t>
      </w:r>
      <w:r>
        <w:rPr>
          <w:rFonts w:hint="eastAsia"/>
          <w:sz w:val="24"/>
          <w:szCs w:val="24"/>
        </w:rPr>
        <w:t>分）抗维生素</w:t>
      </w:r>
      <w:r>
        <w:rPr>
          <w:sz w:val="24"/>
          <w:szCs w:val="24"/>
        </w:rPr>
        <w:t xml:space="preserve"> D </w:t>
      </w:r>
      <w:r>
        <w:rPr>
          <w:rFonts w:hint="eastAsia"/>
          <w:sz w:val="24"/>
          <w:szCs w:val="24"/>
        </w:rPr>
        <w:t>佝偻病为</w:t>
      </w:r>
      <w:r>
        <w:rPr>
          <w:sz w:val="24"/>
          <w:szCs w:val="24"/>
        </w:rPr>
        <w:t xml:space="preserve"> X </w:t>
      </w:r>
      <w:r>
        <w:rPr>
          <w:rFonts w:hint="eastAsia"/>
          <w:sz w:val="24"/>
          <w:szCs w:val="24"/>
        </w:rPr>
        <w:t>染色体显性遗传病，短指为常染色体显性遗传病，红绿色盲为</w:t>
      </w:r>
      <w:r>
        <w:rPr>
          <w:sz w:val="24"/>
          <w:szCs w:val="24"/>
        </w:rPr>
        <w:t xml:space="preserve"> X </w:t>
      </w:r>
      <w:r>
        <w:rPr>
          <w:rFonts w:hint="eastAsia"/>
          <w:sz w:val="24"/>
          <w:szCs w:val="24"/>
        </w:rPr>
        <w:t>染色体隐性遗传病，白化病为常染色体隐性遗传病，关于这四种遗传病遗传特征的叙述，正确的（　　）</w:t>
      </w:r>
    </w:p>
    <w:p w:rsidR="002A58E6" w:rsidP="002A58E6" w14:paraId="36F3B776" w14:textId="77777777">
      <w:pPr>
        <w:spacing w:line="360" w:lineRule="auto"/>
        <w:ind w:firstLine="312" w:firstLineChars="130"/>
        <w:jc w:val="left"/>
      </w:pPr>
      <w:r>
        <w:rPr>
          <w:sz w:val="24"/>
          <w:szCs w:val="24"/>
        </w:rPr>
        <w:t>A</w:t>
      </w:r>
      <w:r>
        <w:rPr>
          <w:rFonts w:hint="eastAsia"/>
          <w:sz w:val="24"/>
          <w:szCs w:val="24"/>
        </w:rPr>
        <w:t>．红绿色盲女性患者的父亲是该病的患者</w:t>
      </w:r>
      <w:r>
        <w:tab/>
      </w:r>
    </w:p>
    <w:p w:rsidR="002A58E6" w:rsidP="002A58E6" w14:paraId="3ED20DF9" w14:textId="77777777">
      <w:pPr>
        <w:spacing w:line="360" w:lineRule="auto"/>
        <w:ind w:firstLine="312" w:firstLineChars="130"/>
        <w:jc w:val="left"/>
      </w:pPr>
      <w:r>
        <w:rPr>
          <w:sz w:val="24"/>
          <w:szCs w:val="24"/>
        </w:rPr>
        <w:t>B</w:t>
      </w:r>
      <w:r>
        <w:rPr>
          <w:rFonts w:hint="eastAsia"/>
          <w:sz w:val="24"/>
          <w:szCs w:val="24"/>
        </w:rPr>
        <w:t>．短指的发病率男性高于女性</w:t>
      </w:r>
      <w:r>
        <w:tab/>
      </w:r>
    </w:p>
    <w:p w:rsidR="002A58E6" w:rsidP="002A58E6" w14:paraId="1B6ED6B6" w14:textId="77777777">
      <w:pPr>
        <w:spacing w:line="360" w:lineRule="auto"/>
        <w:ind w:firstLine="312" w:firstLineChars="130"/>
        <w:jc w:val="left"/>
      </w:pPr>
      <w:r>
        <w:rPr>
          <w:sz w:val="24"/>
          <w:szCs w:val="24"/>
        </w:rPr>
        <w:t>C</w:t>
      </w:r>
      <w:r>
        <w:rPr>
          <w:rFonts w:hint="eastAsia"/>
          <w:sz w:val="24"/>
          <w:szCs w:val="24"/>
        </w:rPr>
        <w:t>．抗维生素</w:t>
      </w:r>
      <w:r>
        <w:rPr>
          <w:sz w:val="24"/>
          <w:szCs w:val="24"/>
        </w:rPr>
        <w:t xml:space="preserve"> D </w:t>
      </w:r>
      <w:r>
        <w:rPr>
          <w:rFonts w:hint="eastAsia"/>
          <w:sz w:val="24"/>
          <w:szCs w:val="24"/>
        </w:rPr>
        <w:t>佝偻病的发病率男性高于女性</w:t>
      </w:r>
      <w:r>
        <w:tab/>
      </w:r>
    </w:p>
    <w:p w:rsidR="002A58E6" w:rsidP="002A58E6" w14:paraId="062FC203" w14:textId="77777777">
      <w:pPr>
        <w:spacing w:line="360" w:lineRule="auto"/>
        <w:ind w:firstLine="312" w:firstLineChars="130"/>
        <w:jc w:val="left"/>
      </w:pPr>
      <w:r>
        <w:rPr>
          <w:sz w:val="24"/>
          <w:szCs w:val="24"/>
        </w:rPr>
        <w:t>D</w:t>
      </w:r>
      <w:r>
        <w:rPr>
          <w:rFonts w:hint="eastAsia"/>
          <w:sz w:val="24"/>
          <w:szCs w:val="24"/>
        </w:rPr>
        <w:t>．白化病通常会在一个家系的几代人中连续出现</w:t>
      </w:r>
      <w:r>
        <w:tab/>
      </w:r>
    </w:p>
    <w:p w:rsidR="002A58E6" w:rsidP="002A58E6" w14:paraId="7132A1E9" w14:textId="77777777">
      <w:pPr>
        <w:spacing w:line="360" w:lineRule="auto"/>
        <w:ind w:left="312" w:hanging="312" w:hangingChars="130"/>
      </w:pPr>
      <w:r>
        <w:rPr>
          <w:rFonts w:hint="eastAsia"/>
          <w:sz w:val="24"/>
          <w:szCs w:val="24"/>
        </w:rPr>
        <w:t>　</w:t>
      </w:r>
    </w:p>
    <w:p w:rsidR="002A58E6" w:rsidP="002A58E6" w14:paraId="3E7A6A05" w14:textId="77777777">
      <w:pPr>
        <w:spacing w:line="360" w:lineRule="auto"/>
        <w:ind w:left="312" w:hanging="312" w:hangingChars="130"/>
      </w:pPr>
      <w:r>
        <w:rPr>
          <w:rFonts w:hint="eastAsia"/>
          <w:b/>
          <w:sz w:val="24"/>
          <w:szCs w:val="24"/>
        </w:rPr>
        <w:t>二、非选择题</w:t>
      </w:r>
    </w:p>
    <w:p w:rsidR="002A58E6" w:rsidP="002A58E6" w14:paraId="79421DC0" w14:textId="77777777">
      <w:pPr>
        <w:spacing w:line="360" w:lineRule="auto"/>
        <w:ind w:left="312" w:hanging="312" w:hangingChars="130"/>
      </w:pPr>
      <w:r>
        <w:rPr>
          <w:sz w:val="24"/>
          <w:szCs w:val="24"/>
        </w:rPr>
        <w:t>7</w:t>
      </w:r>
      <w:r>
        <w:rPr>
          <w:rFonts w:hint="eastAsia"/>
          <w:sz w:val="24"/>
          <w:szCs w:val="24"/>
        </w:rPr>
        <w:t>．（</w:t>
      </w:r>
      <w:r>
        <w:rPr>
          <w:sz w:val="24"/>
          <w:szCs w:val="24"/>
        </w:rPr>
        <w:t>9</w:t>
      </w:r>
      <w:r>
        <w:rPr>
          <w:rFonts w:hint="eastAsia"/>
          <w:sz w:val="24"/>
          <w:szCs w:val="24"/>
        </w:rPr>
        <w:t>分）为了探究不同光照处理对植物光合作用的影响，科学家以生长状态相同的某种植物为材料设计了</w:t>
      </w:r>
      <w:r>
        <w:rPr>
          <w:sz w:val="24"/>
          <w:szCs w:val="24"/>
        </w:rPr>
        <w:t>A</w:t>
      </w:r>
      <w:r>
        <w:rPr>
          <w:rFonts w:hint="eastAsia"/>
          <w:sz w:val="24"/>
          <w:szCs w:val="24"/>
        </w:rPr>
        <w:t>、</w:t>
      </w:r>
      <w:r>
        <w:rPr>
          <w:sz w:val="24"/>
          <w:szCs w:val="24"/>
        </w:rPr>
        <w:t>B</w:t>
      </w:r>
      <w:r>
        <w:rPr>
          <w:rFonts w:hint="eastAsia"/>
          <w:sz w:val="24"/>
          <w:szCs w:val="24"/>
        </w:rPr>
        <w:t>、</w:t>
      </w:r>
      <w:r>
        <w:rPr>
          <w:sz w:val="24"/>
          <w:szCs w:val="24"/>
        </w:rPr>
        <w:t>C</w:t>
      </w:r>
      <w:r>
        <w:rPr>
          <w:rFonts w:hint="eastAsia"/>
          <w:sz w:val="24"/>
          <w:szCs w:val="24"/>
        </w:rPr>
        <w:t>、</w:t>
      </w:r>
      <w:r>
        <w:rPr>
          <w:sz w:val="24"/>
          <w:szCs w:val="24"/>
        </w:rPr>
        <w:t>D</w:t>
      </w:r>
      <w:r>
        <w:rPr>
          <w:rFonts w:hint="eastAsia"/>
          <w:sz w:val="24"/>
          <w:szCs w:val="24"/>
        </w:rPr>
        <w:t>四组实验。各组实验的温度、光照强度和</w:t>
      </w:r>
      <w:r>
        <w:rPr>
          <w:sz w:val="24"/>
          <w:szCs w:val="24"/>
        </w:rPr>
        <w:t>CO</w:t>
      </w:r>
      <w:r>
        <w:rPr>
          <w:sz w:val="24"/>
          <w:szCs w:val="24"/>
          <w:vertAlign w:val="subscript"/>
        </w:rPr>
        <w:t>2</w:t>
      </w:r>
      <w:r>
        <w:rPr>
          <w:rFonts w:hint="eastAsia"/>
          <w:sz w:val="24"/>
          <w:szCs w:val="24"/>
        </w:rPr>
        <w:t>浓度等条件相同、适宜且稳定，每组处理的总时间均为</w:t>
      </w:r>
      <w:r>
        <w:rPr>
          <w:sz w:val="24"/>
          <w:szCs w:val="24"/>
        </w:rPr>
        <w:t>135s</w:t>
      </w:r>
      <w:r>
        <w:rPr>
          <w:rFonts w:hint="eastAsia"/>
          <w:sz w:val="24"/>
          <w:szCs w:val="24"/>
        </w:rPr>
        <w:t>，处理结束时测定各组材料中光合作用产物的含量。处理方法和实验结果如下：</w:t>
      </w:r>
    </w:p>
    <w:p w:rsidR="002A58E6" w:rsidP="002A58E6" w14:paraId="787C4A14" w14:textId="77777777">
      <w:pPr>
        <w:spacing w:line="360" w:lineRule="auto"/>
        <w:ind w:left="312" w:hanging="312" w:hangingChars="130"/>
      </w:pPr>
      <w:r>
        <w:rPr>
          <w:sz w:val="24"/>
          <w:szCs w:val="24"/>
        </w:rPr>
        <w:t>A</w:t>
      </w:r>
      <w:r>
        <w:rPr>
          <w:rFonts w:hint="eastAsia"/>
          <w:sz w:val="24"/>
          <w:szCs w:val="24"/>
        </w:rPr>
        <w:t>组：先光照后黑暗，时间各为</w:t>
      </w:r>
      <w:r>
        <w:rPr>
          <w:sz w:val="24"/>
          <w:szCs w:val="24"/>
        </w:rPr>
        <w:t>67.5s</w:t>
      </w:r>
      <w:r>
        <w:rPr>
          <w:rFonts w:hint="eastAsia"/>
          <w:sz w:val="24"/>
          <w:szCs w:val="24"/>
        </w:rPr>
        <w:t>；光合作用产物的相对含量为</w:t>
      </w:r>
      <w:r>
        <w:rPr>
          <w:sz w:val="24"/>
          <w:szCs w:val="24"/>
        </w:rPr>
        <w:t>50%</w:t>
      </w:r>
      <w:r>
        <w:rPr>
          <w:rFonts w:hint="eastAsia"/>
          <w:sz w:val="24"/>
          <w:szCs w:val="24"/>
        </w:rPr>
        <w:t>。</w:t>
      </w:r>
    </w:p>
    <w:p w:rsidR="002A58E6" w:rsidP="002A58E6" w14:paraId="5332E0DE" w14:textId="77777777">
      <w:pPr>
        <w:spacing w:line="360" w:lineRule="auto"/>
        <w:ind w:left="312" w:hanging="312" w:hangingChars="130"/>
      </w:pPr>
      <w:r>
        <w:rPr>
          <w:sz w:val="24"/>
          <w:szCs w:val="24"/>
        </w:rPr>
        <w:t>B</w:t>
      </w:r>
      <w:r>
        <w:rPr>
          <w:rFonts w:hint="eastAsia"/>
          <w:sz w:val="24"/>
          <w:szCs w:val="24"/>
        </w:rPr>
        <w:t>组：先光照后黑暗，光照和黑暗交替处理，每次光照和黑暗时间各为</w:t>
      </w:r>
      <w:r>
        <w:rPr>
          <w:sz w:val="24"/>
          <w:szCs w:val="24"/>
        </w:rPr>
        <w:t>7.5s</w:t>
      </w:r>
      <w:r>
        <w:rPr>
          <w:rFonts w:hint="eastAsia"/>
          <w:sz w:val="24"/>
          <w:szCs w:val="24"/>
        </w:rPr>
        <w:t>；光合作用产物的相对含量为</w:t>
      </w:r>
      <w:r>
        <w:rPr>
          <w:sz w:val="24"/>
          <w:szCs w:val="24"/>
        </w:rPr>
        <w:t>70%</w:t>
      </w:r>
      <w:r>
        <w:rPr>
          <w:rFonts w:hint="eastAsia"/>
          <w:sz w:val="24"/>
          <w:szCs w:val="24"/>
        </w:rPr>
        <w:t>。</w:t>
      </w:r>
    </w:p>
    <w:p w:rsidR="002A58E6" w:rsidP="002A58E6" w14:paraId="61E98B60" w14:textId="77777777">
      <w:pPr>
        <w:spacing w:line="360" w:lineRule="auto"/>
        <w:ind w:left="312" w:hanging="312" w:hangingChars="130"/>
      </w:pPr>
      <w:r>
        <w:rPr>
          <w:sz w:val="24"/>
          <w:szCs w:val="24"/>
        </w:rPr>
        <w:t>C</w:t>
      </w:r>
      <w:r>
        <w:rPr>
          <w:rFonts w:hint="eastAsia"/>
          <w:sz w:val="24"/>
          <w:szCs w:val="24"/>
        </w:rPr>
        <w:t>组：先光照后黑暗，光照和黑暗交替处理，每次光照和黑暗时间各为</w:t>
      </w:r>
      <w:r>
        <w:rPr>
          <w:sz w:val="24"/>
          <w:szCs w:val="24"/>
        </w:rPr>
        <w:t>3.75ms</w:t>
      </w:r>
      <w:r>
        <w:rPr>
          <w:rFonts w:hint="eastAsia"/>
          <w:sz w:val="24"/>
          <w:szCs w:val="24"/>
        </w:rPr>
        <w:t>（毫秒）；光合作用产物的相对含量为</w:t>
      </w:r>
      <w:r>
        <w:rPr>
          <w:sz w:val="24"/>
          <w:szCs w:val="24"/>
        </w:rPr>
        <w:t>94%</w:t>
      </w:r>
      <w:r>
        <w:rPr>
          <w:rFonts w:hint="eastAsia"/>
          <w:sz w:val="24"/>
          <w:szCs w:val="24"/>
        </w:rPr>
        <w:t>。</w:t>
      </w:r>
    </w:p>
    <w:p w:rsidR="002A58E6" w:rsidP="002A58E6" w14:paraId="5794BCD6" w14:textId="77777777">
      <w:pPr>
        <w:spacing w:line="360" w:lineRule="auto"/>
        <w:ind w:left="312" w:hanging="312" w:hangingChars="130"/>
      </w:pPr>
      <w:r>
        <w:rPr>
          <w:sz w:val="24"/>
          <w:szCs w:val="24"/>
        </w:rPr>
        <w:t>D</w:t>
      </w:r>
      <w:r>
        <w:rPr>
          <w:rFonts w:hint="eastAsia"/>
          <w:sz w:val="24"/>
          <w:szCs w:val="24"/>
        </w:rPr>
        <w:t>组（对照组）：光照时间为</w:t>
      </w:r>
      <w:r>
        <w:rPr>
          <w:sz w:val="24"/>
          <w:szCs w:val="24"/>
        </w:rPr>
        <w:t>135s</w:t>
      </w:r>
      <w:r>
        <w:rPr>
          <w:rFonts w:hint="eastAsia"/>
          <w:sz w:val="24"/>
          <w:szCs w:val="24"/>
        </w:rPr>
        <w:t>；光合作用产物的相对含量为</w:t>
      </w:r>
      <w:r>
        <w:rPr>
          <w:sz w:val="24"/>
          <w:szCs w:val="24"/>
        </w:rPr>
        <w:t>100%</w:t>
      </w:r>
      <w:r>
        <w:rPr>
          <w:rFonts w:hint="eastAsia"/>
          <w:sz w:val="24"/>
          <w:szCs w:val="24"/>
        </w:rPr>
        <w:t>。</w:t>
      </w:r>
    </w:p>
    <w:p w:rsidR="002A58E6" w:rsidP="002A58E6" w14:paraId="001D4B37" w14:textId="77777777">
      <w:pPr>
        <w:spacing w:line="360" w:lineRule="auto"/>
        <w:ind w:left="312" w:hanging="312" w:hangingChars="130"/>
      </w:pPr>
      <w:r>
        <w:rPr>
          <w:rFonts w:hint="eastAsia"/>
          <w:sz w:val="24"/>
          <w:szCs w:val="24"/>
        </w:rPr>
        <w:t>回答下列问题：</w:t>
      </w:r>
    </w:p>
    <w:p w:rsidR="002A58E6" w:rsidP="002A58E6" w14:paraId="7EDB3EEA" w14:textId="77777777">
      <w:pPr>
        <w:spacing w:line="360" w:lineRule="auto"/>
        <w:ind w:left="312" w:hanging="312" w:hangingChars="130"/>
      </w:pPr>
      <w:r>
        <w:rPr>
          <w:rFonts w:hint="eastAsia"/>
          <w:sz w:val="24"/>
          <w:szCs w:val="24"/>
        </w:rPr>
        <w:t>（</w:t>
      </w:r>
      <w:r>
        <w:rPr>
          <w:sz w:val="24"/>
          <w:szCs w:val="24"/>
        </w:rPr>
        <w:t>1</w:t>
      </w:r>
      <w:r>
        <w:rPr>
          <w:rFonts w:hint="eastAsia"/>
          <w:sz w:val="24"/>
          <w:szCs w:val="24"/>
        </w:rPr>
        <w:t>）单位光照时间内，</w:t>
      </w:r>
      <w:r>
        <w:rPr>
          <w:sz w:val="24"/>
          <w:szCs w:val="24"/>
        </w:rPr>
        <w:t>C</w:t>
      </w:r>
      <w:r>
        <w:rPr>
          <w:rFonts w:hint="eastAsia"/>
          <w:sz w:val="24"/>
          <w:szCs w:val="24"/>
        </w:rPr>
        <w:t>组植物合成有机物的量</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（填</w:t>
      </w:r>
      <w:r>
        <w:rPr>
          <w:sz w:val="24"/>
          <w:szCs w:val="24"/>
        </w:rPr>
        <w:t>“</w:t>
      </w:r>
      <w:r>
        <w:rPr>
          <w:rFonts w:hint="eastAsia"/>
          <w:sz w:val="24"/>
          <w:szCs w:val="24"/>
        </w:rPr>
        <w:t>高于</w:t>
      </w:r>
      <w:r>
        <w:rPr>
          <w:sz w:val="24"/>
          <w:szCs w:val="24"/>
        </w:rPr>
        <w:t>”</w:t>
      </w:r>
      <w:r>
        <w:rPr>
          <w:rFonts w:hint="eastAsia"/>
          <w:sz w:val="24"/>
          <w:szCs w:val="24"/>
        </w:rPr>
        <w:t>、</w:t>
      </w:r>
      <w:r>
        <w:rPr>
          <w:sz w:val="24"/>
          <w:szCs w:val="24"/>
        </w:rPr>
        <w:t>“</w:t>
      </w:r>
      <w:r>
        <w:rPr>
          <w:rFonts w:hint="eastAsia"/>
          <w:sz w:val="24"/>
          <w:szCs w:val="24"/>
        </w:rPr>
        <w:t>等于</w:t>
      </w:r>
      <w:r>
        <w:rPr>
          <w:sz w:val="24"/>
          <w:szCs w:val="24"/>
        </w:rPr>
        <w:t>”</w:t>
      </w:r>
      <w:r>
        <w:rPr>
          <w:rFonts w:hint="eastAsia"/>
          <w:sz w:val="24"/>
          <w:szCs w:val="24"/>
        </w:rPr>
        <w:t>或</w:t>
      </w:r>
      <w:r>
        <w:rPr>
          <w:sz w:val="24"/>
          <w:szCs w:val="24"/>
        </w:rPr>
        <w:t>“</w:t>
      </w:r>
      <w:r>
        <w:rPr>
          <w:rFonts w:hint="eastAsia"/>
          <w:sz w:val="24"/>
          <w:szCs w:val="24"/>
        </w:rPr>
        <w:t>低于</w:t>
      </w:r>
      <w:r>
        <w:rPr>
          <w:sz w:val="24"/>
          <w:szCs w:val="24"/>
        </w:rPr>
        <w:t>”</w:t>
      </w:r>
      <w:r>
        <w:rPr>
          <w:rFonts w:hint="eastAsia"/>
          <w:sz w:val="24"/>
          <w:szCs w:val="24"/>
        </w:rPr>
        <w:t>）</w:t>
      </w:r>
      <w:r>
        <w:rPr>
          <w:sz w:val="24"/>
          <w:szCs w:val="24"/>
        </w:rPr>
        <w:t>D</w:t>
      </w:r>
      <w:r>
        <w:rPr>
          <w:rFonts w:hint="eastAsia"/>
          <w:sz w:val="24"/>
          <w:szCs w:val="24"/>
        </w:rPr>
        <w:t>组植物合成有机物的量，依据是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r>
        <w:rPr>
          <w:sz w:val="24"/>
          <w:szCs w:val="24"/>
        </w:rPr>
        <w:t>C</w:t>
      </w:r>
      <w:r>
        <w:rPr>
          <w:rFonts w:hint="eastAsia"/>
          <w:sz w:val="24"/>
          <w:szCs w:val="24"/>
        </w:rPr>
        <w:t>组和</w:t>
      </w:r>
      <w:r>
        <w:rPr>
          <w:sz w:val="24"/>
          <w:szCs w:val="24"/>
        </w:rPr>
        <w:t>D</w:t>
      </w:r>
      <w:r>
        <w:rPr>
          <w:rFonts w:hint="eastAsia"/>
          <w:sz w:val="24"/>
          <w:szCs w:val="24"/>
        </w:rPr>
        <w:t>组的实验结果可表明光合作用中有些反应不需要</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，这些反应发生的部位是叶绿体的</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2A58E6" w:rsidP="002A58E6" w14:paraId="3C099138" w14:textId="77777777">
      <w:pPr>
        <w:spacing w:line="360" w:lineRule="auto"/>
        <w:ind w:left="312" w:hanging="312" w:hangingChars="130"/>
      </w:pPr>
      <w:r>
        <w:rPr>
          <w:rFonts w:hint="eastAsia"/>
          <w:sz w:val="24"/>
          <w:szCs w:val="24"/>
        </w:rPr>
        <w:t>（</w:t>
      </w:r>
      <w:r>
        <w:rPr>
          <w:sz w:val="24"/>
          <w:szCs w:val="24"/>
        </w:rPr>
        <w:t>2</w:t>
      </w:r>
      <w:r>
        <w:rPr>
          <w:rFonts w:hint="eastAsia"/>
          <w:sz w:val="24"/>
          <w:szCs w:val="24"/>
        </w:rPr>
        <w:t>）</w:t>
      </w:r>
      <w:r>
        <w:rPr>
          <w:sz w:val="24"/>
          <w:szCs w:val="24"/>
        </w:rPr>
        <w:t>A</w:t>
      </w:r>
      <w:r>
        <w:rPr>
          <w:rFonts w:hint="eastAsia"/>
          <w:sz w:val="24"/>
          <w:szCs w:val="24"/>
        </w:rPr>
        <w:t>、</w:t>
      </w:r>
      <w:r>
        <w:rPr>
          <w:sz w:val="24"/>
          <w:szCs w:val="24"/>
        </w:rPr>
        <w:t>B</w:t>
      </w:r>
      <w:r>
        <w:rPr>
          <w:rFonts w:hint="eastAsia"/>
          <w:sz w:val="24"/>
          <w:szCs w:val="24"/>
        </w:rPr>
        <w:t>、</w:t>
      </w:r>
      <w:r>
        <w:rPr>
          <w:sz w:val="24"/>
          <w:szCs w:val="24"/>
        </w:rPr>
        <w:t>C</w:t>
      </w:r>
      <w:r>
        <w:rPr>
          <w:rFonts w:hint="eastAsia"/>
          <w:sz w:val="24"/>
          <w:szCs w:val="24"/>
        </w:rPr>
        <w:t>三组处理相比，随着</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的增加，使光下产生的</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能够及时利用与及时再生，从而提高了光合作用中</w:t>
      </w:r>
      <w:r>
        <w:rPr>
          <w:sz w:val="24"/>
          <w:szCs w:val="24"/>
        </w:rPr>
        <w:t>CO</w:t>
      </w:r>
      <w:r>
        <w:rPr>
          <w:sz w:val="24"/>
          <w:szCs w:val="24"/>
          <w:vertAlign w:val="subscript"/>
        </w:rPr>
        <w:t>2</w:t>
      </w:r>
      <w:r>
        <w:rPr>
          <w:rFonts w:hint="eastAsia"/>
          <w:sz w:val="24"/>
          <w:szCs w:val="24"/>
        </w:rPr>
        <w:t>的同化量。</w:t>
      </w:r>
    </w:p>
    <w:p w:rsidR="002A58E6" w:rsidP="002A58E6" w14:paraId="5614DD18" w14:textId="77777777">
      <w:pPr>
        <w:spacing w:line="360" w:lineRule="auto"/>
        <w:ind w:left="312" w:hanging="312" w:hangingChars="130"/>
      </w:pPr>
      <w:r>
        <w:rPr>
          <w:sz w:val="24"/>
          <w:szCs w:val="24"/>
        </w:rPr>
        <w:t>8</w:t>
      </w:r>
      <w:r>
        <w:rPr>
          <w:rFonts w:hint="eastAsia"/>
          <w:sz w:val="24"/>
          <w:szCs w:val="24"/>
        </w:rPr>
        <w:t>．（</w:t>
      </w:r>
      <w:r>
        <w:rPr>
          <w:sz w:val="24"/>
          <w:szCs w:val="24"/>
        </w:rPr>
        <w:t>11</w:t>
      </w:r>
      <w:r>
        <w:rPr>
          <w:rFonts w:hint="eastAsia"/>
          <w:sz w:val="24"/>
          <w:szCs w:val="24"/>
        </w:rPr>
        <w:t>分）肾上腺素和迷走神经都参与兔血压的调节，回答相关问题：</w:t>
      </w:r>
    </w:p>
    <w:p w:rsidR="002A58E6" w:rsidP="002A58E6" w14:paraId="7972D40E" w14:textId="77777777">
      <w:pPr>
        <w:spacing w:line="360" w:lineRule="auto"/>
        <w:ind w:left="312" w:hanging="312" w:hangingChars="130"/>
      </w:pPr>
      <w:r>
        <w:rPr>
          <w:rFonts w:hint="eastAsia"/>
          <w:sz w:val="24"/>
          <w:szCs w:val="24"/>
        </w:rPr>
        <w:t>（</w:t>
      </w:r>
      <w:r>
        <w:rPr>
          <w:sz w:val="24"/>
          <w:szCs w:val="24"/>
        </w:rPr>
        <w:t>1</w:t>
      </w:r>
      <w:r>
        <w:rPr>
          <w:rFonts w:hint="eastAsia"/>
          <w:sz w:val="24"/>
          <w:szCs w:val="24"/>
        </w:rPr>
        <w:t>）给实验兔静脉注射</w:t>
      </w:r>
      <w:r>
        <w:rPr>
          <w:sz w:val="24"/>
          <w:szCs w:val="24"/>
        </w:rPr>
        <w:t>0.01%</w:t>
      </w:r>
      <w:r>
        <w:rPr>
          <w:rFonts w:hint="eastAsia"/>
          <w:sz w:val="24"/>
          <w:szCs w:val="24"/>
        </w:rPr>
        <w:t>的肾上腺素</w:t>
      </w:r>
      <w:r>
        <w:rPr>
          <w:sz w:val="24"/>
          <w:szCs w:val="24"/>
        </w:rPr>
        <w:t>0.2mL</w:t>
      </w:r>
      <w:r>
        <w:rPr>
          <w:rFonts w:hint="eastAsia"/>
          <w:sz w:val="24"/>
          <w:szCs w:val="24"/>
        </w:rPr>
        <w:t>后，肾上腺素作用于心脏，心脏活动加强、加快，使血压升高。在这个过程中，肾上腺素作为激素起作用，心脏是肾上腺素作用的</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，肾上腺素对心脏起作用后被</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，血压恢复。肾上腺素的作用是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（填</w:t>
      </w:r>
      <w:r>
        <w:rPr>
          <w:sz w:val="24"/>
          <w:szCs w:val="24"/>
        </w:rPr>
        <w:t>“</w:t>
      </w:r>
      <w:r>
        <w:rPr>
          <w:rFonts w:hint="eastAsia"/>
          <w:sz w:val="24"/>
          <w:szCs w:val="24"/>
        </w:rPr>
        <w:t>催化</w:t>
      </w:r>
      <w:r>
        <w:rPr>
          <w:sz w:val="24"/>
          <w:szCs w:val="24"/>
        </w:rPr>
        <w:t>”</w:t>
      </w:r>
      <w:r>
        <w:rPr>
          <w:rFonts w:hint="eastAsia"/>
          <w:sz w:val="24"/>
          <w:szCs w:val="24"/>
        </w:rPr>
        <w:t>、</w:t>
      </w:r>
      <w:r>
        <w:rPr>
          <w:sz w:val="24"/>
          <w:szCs w:val="24"/>
        </w:rPr>
        <w:t>“</w:t>
      </w:r>
      <w:r>
        <w:rPr>
          <w:rFonts w:hint="eastAsia"/>
          <w:sz w:val="24"/>
          <w:szCs w:val="24"/>
        </w:rPr>
        <w:t>供能</w:t>
      </w:r>
      <w:r>
        <w:rPr>
          <w:sz w:val="24"/>
          <w:szCs w:val="24"/>
        </w:rPr>
        <w:t>”</w:t>
      </w:r>
      <w:r>
        <w:rPr>
          <w:rFonts w:hint="eastAsia"/>
          <w:sz w:val="24"/>
          <w:szCs w:val="24"/>
        </w:rPr>
        <w:t>或</w:t>
      </w:r>
      <w:r>
        <w:rPr>
          <w:sz w:val="24"/>
          <w:szCs w:val="24"/>
        </w:rPr>
        <w:t>“</w:t>
      </w:r>
      <w:r>
        <w:rPr>
          <w:rFonts w:hint="eastAsia"/>
          <w:sz w:val="24"/>
          <w:szCs w:val="24"/>
        </w:rPr>
        <w:t>传递信息</w:t>
      </w:r>
      <w:r>
        <w:rPr>
          <w:sz w:val="24"/>
          <w:szCs w:val="24"/>
        </w:rPr>
        <w:t>”</w:t>
      </w:r>
      <w:r>
        <w:rPr>
          <w:rFonts w:hint="eastAsia"/>
          <w:sz w:val="24"/>
          <w:szCs w:val="24"/>
        </w:rPr>
        <w:t>）。</w:t>
      </w:r>
    </w:p>
    <w:p w:rsidR="002A58E6" w:rsidP="002A58E6" w14:paraId="453E2455" w14:textId="77777777">
      <w:pPr>
        <w:spacing w:line="360" w:lineRule="auto"/>
        <w:ind w:left="312" w:hanging="312" w:hangingChars="130"/>
      </w:pPr>
      <w:r>
        <w:rPr>
          <w:rFonts w:hint="eastAsia"/>
          <w:sz w:val="24"/>
          <w:szCs w:val="24"/>
        </w:rPr>
        <w:t>（</w:t>
      </w:r>
      <w:r>
        <w:rPr>
          <w:sz w:val="24"/>
          <w:szCs w:val="24"/>
        </w:rPr>
        <w:t>2</w:t>
      </w:r>
      <w:r>
        <w:rPr>
          <w:rFonts w:hint="eastAsia"/>
          <w:sz w:val="24"/>
          <w:szCs w:val="24"/>
        </w:rPr>
        <w:t>）剪断实验兔的迷走神经后刺激其靠近心脏的一端，迷走神经末梢释放乙酰胆碱，使心脏活动减弱、减慢、血压降低。在此过程中，心脏活动的调节属于</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调节。乙酰胆碱属于</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（填</w:t>
      </w:r>
      <w:r>
        <w:rPr>
          <w:sz w:val="24"/>
          <w:szCs w:val="24"/>
        </w:rPr>
        <w:t>“</w:t>
      </w:r>
      <w:r>
        <w:rPr>
          <w:rFonts w:hint="eastAsia"/>
          <w:sz w:val="24"/>
          <w:szCs w:val="24"/>
        </w:rPr>
        <w:t>酶</w:t>
      </w:r>
      <w:r>
        <w:rPr>
          <w:sz w:val="24"/>
          <w:szCs w:val="24"/>
        </w:rPr>
        <w:t>”</w:t>
      </w:r>
      <w:r>
        <w:rPr>
          <w:rFonts w:hint="eastAsia"/>
          <w:sz w:val="24"/>
          <w:szCs w:val="24"/>
        </w:rPr>
        <w:t>、</w:t>
      </w:r>
      <w:r>
        <w:rPr>
          <w:sz w:val="24"/>
          <w:szCs w:val="24"/>
        </w:rPr>
        <w:t>“</w:t>
      </w:r>
      <w:r>
        <w:rPr>
          <w:rFonts w:hint="eastAsia"/>
          <w:sz w:val="24"/>
          <w:szCs w:val="24"/>
        </w:rPr>
        <w:t>神经递质</w:t>
      </w:r>
      <w:r>
        <w:rPr>
          <w:sz w:val="24"/>
          <w:szCs w:val="24"/>
        </w:rPr>
        <w:t>”</w:t>
      </w:r>
      <w:r>
        <w:rPr>
          <w:rFonts w:hint="eastAsia"/>
          <w:sz w:val="24"/>
          <w:szCs w:val="24"/>
        </w:rPr>
        <w:t>或</w:t>
      </w:r>
      <w:r>
        <w:rPr>
          <w:sz w:val="24"/>
          <w:szCs w:val="24"/>
        </w:rPr>
        <w:t>“</w:t>
      </w:r>
      <w:r>
        <w:rPr>
          <w:rFonts w:hint="eastAsia"/>
          <w:sz w:val="24"/>
          <w:szCs w:val="24"/>
        </w:rPr>
        <w:t>激素</w:t>
      </w:r>
      <w:r>
        <w:rPr>
          <w:sz w:val="24"/>
          <w:szCs w:val="24"/>
        </w:rPr>
        <w:t>”</w:t>
      </w:r>
      <w:r>
        <w:rPr>
          <w:rFonts w:hint="eastAsia"/>
          <w:sz w:val="24"/>
          <w:szCs w:val="24"/>
        </w:rPr>
        <w:t>），需要与细胞膜上的</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结合才能发挥作用。</w:t>
      </w:r>
    </w:p>
    <w:p w:rsidR="002A58E6" w:rsidP="002A58E6" w14:paraId="7C04A578" w14:textId="77777777">
      <w:pPr>
        <w:spacing w:line="360" w:lineRule="auto"/>
        <w:ind w:left="312" w:hanging="312" w:hangingChars="130"/>
      </w:pPr>
      <w:r>
        <w:rPr>
          <w:rFonts w:hint="eastAsia"/>
          <w:sz w:val="24"/>
          <w:szCs w:val="24"/>
        </w:rPr>
        <w:t>（</w:t>
      </w:r>
      <w:r>
        <w:rPr>
          <w:sz w:val="24"/>
          <w:szCs w:val="24"/>
        </w:rPr>
        <w:t>3</w:t>
      </w:r>
      <w:r>
        <w:rPr>
          <w:rFonts w:hint="eastAsia"/>
          <w:sz w:val="24"/>
          <w:szCs w:val="24"/>
        </w:rPr>
        <w:t>）肾上腺素和乙酰胆碱在作用于心脏、调节血压的过程中所具有的共同特点是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（答出一个特点即可）。</w:t>
      </w:r>
    </w:p>
    <w:p w:rsidR="002A58E6" w:rsidP="002A58E6" w14:paraId="594CEF91" w14:textId="77777777">
      <w:pPr>
        <w:spacing w:line="360" w:lineRule="auto"/>
        <w:ind w:left="312" w:hanging="312" w:hangingChars="130"/>
      </w:pPr>
      <w:r>
        <w:rPr>
          <w:sz w:val="24"/>
          <w:szCs w:val="24"/>
        </w:rPr>
        <w:t>9</w:t>
      </w:r>
      <w:r>
        <w:rPr>
          <w:rFonts w:hint="eastAsia"/>
          <w:sz w:val="24"/>
          <w:szCs w:val="24"/>
        </w:rPr>
        <w:t>．（</w:t>
      </w:r>
      <w:r>
        <w:rPr>
          <w:sz w:val="24"/>
          <w:szCs w:val="24"/>
        </w:rPr>
        <w:t>10</w:t>
      </w:r>
      <w:r>
        <w:rPr>
          <w:rFonts w:hint="eastAsia"/>
          <w:sz w:val="24"/>
          <w:szCs w:val="24"/>
        </w:rPr>
        <w:t>分）现有一未受人类干扰的自然湖泊，某研究小组考察了湖泊中处于食物链最高营养级的某鱼种群的年龄组成，结果如下表．</w:t>
      </w: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30" w:type="dxa"/>
          <w:left w:w="30" w:type="dxa"/>
          <w:bottom w:w="30" w:type="dxa"/>
          <w:right w:w="30" w:type="dxa"/>
        </w:tblCellMar>
        <w:tblLook w:val="04A0"/>
      </w:tblPr>
      <w:tblGrid>
        <w:gridCol w:w="849"/>
        <w:gridCol w:w="561"/>
        <w:gridCol w:w="635"/>
        <w:gridCol w:w="635"/>
        <w:gridCol w:w="561"/>
        <w:gridCol w:w="561"/>
        <w:gridCol w:w="561"/>
        <w:gridCol w:w="561"/>
        <w:gridCol w:w="561"/>
        <w:gridCol w:w="561"/>
        <w:gridCol w:w="561"/>
        <w:gridCol w:w="561"/>
        <w:gridCol w:w="561"/>
        <w:gridCol w:w="637"/>
      </w:tblGrid>
      <w:tr w14:paraId="38704E50" w14:textId="77777777">
        <w:tblPrEx>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30" w:type="dxa"/>
            <w:left w:w="30" w:type="dxa"/>
            <w:bottom w:w="30" w:type="dxa"/>
            <w:right w:w="30" w:type="dxa"/>
          </w:tblCellMar>
          <w:tblLook w:val="04A0"/>
        </w:tblPrEx>
        <w:tc>
          <w:tcPr>
            <w:tcW w:w="849" w:type="dxa"/>
            <w:tcBorders>
              <w:top w:val="single" w:sz="2" w:space="0" w:color="000000"/>
              <w:left w:val="single" w:sz="2" w:space="0" w:color="000000"/>
              <w:bottom w:val="single" w:sz="2" w:space="0" w:color="000000"/>
              <w:right w:val="single" w:sz="2" w:space="0" w:color="000000"/>
            </w:tcBorders>
            <w:hideMark/>
          </w:tcPr>
          <w:p w:rsidR="002A58E6" w14:paraId="778F7AFE" w14:textId="77777777">
            <w:pPr>
              <w:spacing w:line="360" w:lineRule="auto"/>
              <w:ind w:left="312" w:hanging="312" w:hangingChars="130"/>
              <w:jc w:val="center"/>
            </w:pPr>
            <w:r>
              <w:rPr>
                <w:rFonts w:hint="eastAsia"/>
                <w:sz w:val="24"/>
                <w:szCs w:val="24"/>
              </w:rPr>
              <w:t>年龄</w:t>
            </w:r>
          </w:p>
        </w:tc>
        <w:tc>
          <w:tcPr>
            <w:tcW w:w="561" w:type="dxa"/>
            <w:tcBorders>
              <w:top w:val="single" w:sz="2" w:space="0" w:color="000000"/>
              <w:left w:val="single" w:sz="2" w:space="0" w:color="000000"/>
              <w:bottom w:val="single" w:sz="2" w:space="0" w:color="000000"/>
              <w:right w:val="single" w:sz="2" w:space="0" w:color="000000"/>
            </w:tcBorders>
            <w:hideMark/>
          </w:tcPr>
          <w:p w:rsidR="002A58E6" w14:paraId="566E6300" w14:textId="77777777">
            <w:pPr>
              <w:spacing w:line="360" w:lineRule="auto"/>
              <w:ind w:left="312" w:hanging="312" w:hangingChars="130"/>
              <w:jc w:val="center"/>
            </w:pPr>
            <w:r>
              <w:rPr>
                <w:sz w:val="24"/>
                <w:szCs w:val="24"/>
              </w:rPr>
              <w:t>0</w:t>
            </w:r>
            <w:r>
              <w:rPr>
                <w:rFonts w:ascii="宋体" w:hAnsi="宋体" w:hint="eastAsia"/>
                <w:sz w:val="24"/>
                <w:szCs w:val="24"/>
              </w:rPr>
              <w:t>+</w:t>
            </w:r>
          </w:p>
        </w:tc>
        <w:tc>
          <w:tcPr>
            <w:tcW w:w="635" w:type="dxa"/>
            <w:tcBorders>
              <w:top w:val="single" w:sz="2" w:space="0" w:color="000000"/>
              <w:left w:val="single" w:sz="2" w:space="0" w:color="000000"/>
              <w:bottom w:val="single" w:sz="2" w:space="0" w:color="000000"/>
              <w:right w:val="single" w:sz="2" w:space="0" w:color="000000"/>
            </w:tcBorders>
            <w:hideMark/>
          </w:tcPr>
          <w:p w:rsidR="002A58E6" w14:paraId="63D8D33C" w14:textId="77777777">
            <w:pPr>
              <w:spacing w:line="360" w:lineRule="auto"/>
              <w:ind w:left="312" w:hanging="312" w:hangingChars="130"/>
              <w:jc w:val="center"/>
            </w:pPr>
            <w:r>
              <w:rPr>
                <w:sz w:val="24"/>
                <w:szCs w:val="24"/>
              </w:rPr>
              <w:t>1</w:t>
            </w:r>
            <w:r>
              <w:rPr>
                <w:rFonts w:ascii="宋体" w:hAnsi="宋体" w:hint="eastAsia"/>
                <w:sz w:val="24"/>
                <w:szCs w:val="24"/>
              </w:rPr>
              <w:t>+</w:t>
            </w:r>
          </w:p>
        </w:tc>
        <w:tc>
          <w:tcPr>
            <w:tcW w:w="635" w:type="dxa"/>
            <w:tcBorders>
              <w:top w:val="single" w:sz="2" w:space="0" w:color="000000"/>
              <w:left w:val="single" w:sz="2" w:space="0" w:color="000000"/>
              <w:bottom w:val="single" w:sz="2" w:space="0" w:color="000000"/>
              <w:right w:val="single" w:sz="2" w:space="0" w:color="000000"/>
            </w:tcBorders>
            <w:hideMark/>
          </w:tcPr>
          <w:p w:rsidR="002A58E6" w14:paraId="102C95A4" w14:textId="77777777">
            <w:pPr>
              <w:spacing w:line="360" w:lineRule="auto"/>
              <w:ind w:left="312" w:hanging="312" w:hangingChars="130"/>
              <w:jc w:val="center"/>
            </w:pPr>
            <w:r>
              <w:rPr>
                <w:sz w:val="24"/>
                <w:szCs w:val="24"/>
              </w:rPr>
              <w:t>2</w:t>
            </w:r>
            <w:r>
              <w:rPr>
                <w:rFonts w:ascii="宋体" w:hAnsi="宋体" w:hint="eastAsia"/>
                <w:sz w:val="24"/>
                <w:szCs w:val="24"/>
              </w:rPr>
              <w:t>+</w:t>
            </w:r>
          </w:p>
        </w:tc>
        <w:tc>
          <w:tcPr>
            <w:tcW w:w="561" w:type="dxa"/>
            <w:tcBorders>
              <w:top w:val="single" w:sz="2" w:space="0" w:color="000000"/>
              <w:left w:val="single" w:sz="2" w:space="0" w:color="000000"/>
              <w:bottom w:val="single" w:sz="2" w:space="0" w:color="000000"/>
              <w:right w:val="single" w:sz="2" w:space="0" w:color="000000"/>
            </w:tcBorders>
            <w:hideMark/>
          </w:tcPr>
          <w:p w:rsidR="002A58E6" w14:paraId="19757D30" w14:textId="77777777">
            <w:pPr>
              <w:spacing w:line="360" w:lineRule="auto"/>
              <w:ind w:left="312" w:hanging="312" w:hangingChars="130"/>
              <w:jc w:val="center"/>
            </w:pPr>
            <w:r>
              <w:rPr>
                <w:sz w:val="24"/>
                <w:szCs w:val="24"/>
              </w:rPr>
              <w:t>3</w:t>
            </w:r>
            <w:r>
              <w:rPr>
                <w:rFonts w:ascii="宋体" w:hAnsi="宋体" w:hint="eastAsia"/>
                <w:sz w:val="24"/>
                <w:szCs w:val="24"/>
              </w:rPr>
              <w:t>+</w:t>
            </w:r>
          </w:p>
        </w:tc>
        <w:tc>
          <w:tcPr>
            <w:tcW w:w="561" w:type="dxa"/>
            <w:tcBorders>
              <w:top w:val="single" w:sz="2" w:space="0" w:color="000000"/>
              <w:left w:val="single" w:sz="2" w:space="0" w:color="000000"/>
              <w:bottom w:val="single" w:sz="2" w:space="0" w:color="000000"/>
              <w:right w:val="single" w:sz="2" w:space="0" w:color="000000"/>
            </w:tcBorders>
            <w:hideMark/>
          </w:tcPr>
          <w:p w:rsidR="002A58E6" w14:paraId="4B504E4A" w14:textId="77777777">
            <w:pPr>
              <w:spacing w:line="360" w:lineRule="auto"/>
              <w:ind w:left="312" w:hanging="312" w:hangingChars="130"/>
              <w:jc w:val="center"/>
            </w:pPr>
            <w:r>
              <w:rPr>
                <w:sz w:val="24"/>
                <w:szCs w:val="24"/>
              </w:rPr>
              <w:t>4</w:t>
            </w:r>
            <w:r>
              <w:rPr>
                <w:rFonts w:ascii="宋体" w:hAnsi="宋体" w:hint="eastAsia"/>
                <w:sz w:val="24"/>
                <w:szCs w:val="24"/>
              </w:rPr>
              <w:t>+</w:t>
            </w:r>
          </w:p>
        </w:tc>
        <w:tc>
          <w:tcPr>
            <w:tcW w:w="561" w:type="dxa"/>
            <w:tcBorders>
              <w:top w:val="single" w:sz="2" w:space="0" w:color="000000"/>
              <w:left w:val="single" w:sz="2" w:space="0" w:color="000000"/>
              <w:bottom w:val="single" w:sz="2" w:space="0" w:color="000000"/>
              <w:right w:val="single" w:sz="2" w:space="0" w:color="000000"/>
            </w:tcBorders>
            <w:hideMark/>
          </w:tcPr>
          <w:p w:rsidR="002A58E6" w14:paraId="62D83B08" w14:textId="77777777">
            <w:pPr>
              <w:spacing w:line="360" w:lineRule="auto"/>
              <w:ind w:left="312" w:hanging="312" w:hangingChars="130"/>
              <w:jc w:val="center"/>
            </w:pPr>
            <w:r>
              <w:rPr>
                <w:sz w:val="24"/>
                <w:szCs w:val="24"/>
              </w:rPr>
              <w:t>5</w:t>
            </w:r>
            <w:r>
              <w:rPr>
                <w:rFonts w:ascii="宋体" w:hAnsi="宋体" w:hint="eastAsia"/>
                <w:sz w:val="24"/>
                <w:szCs w:val="24"/>
              </w:rPr>
              <w:t>+</w:t>
            </w:r>
          </w:p>
        </w:tc>
        <w:tc>
          <w:tcPr>
            <w:tcW w:w="561" w:type="dxa"/>
            <w:tcBorders>
              <w:top w:val="single" w:sz="2" w:space="0" w:color="000000"/>
              <w:left w:val="single" w:sz="2" w:space="0" w:color="000000"/>
              <w:bottom w:val="single" w:sz="2" w:space="0" w:color="000000"/>
              <w:right w:val="single" w:sz="2" w:space="0" w:color="000000"/>
            </w:tcBorders>
            <w:hideMark/>
          </w:tcPr>
          <w:p w:rsidR="002A58E6" w14:paraId="1C5D8D0E" w14:textId="77777777">
            <w:pPr>
              <w:spacing w:line="360" w:lineRule="auto"/>
              <w:ind w:left="312" w:hanging="312" w:hangingChars="130"/>
              <w:jc w:val="center"/>
            </w:pPr>
            <w:r>
              <w:rPr>
                <w:sz w:val="24"/>
                <w:szCs w:val="24"/>
              </w:rPr>
              <w:t>6</w:t>
            </w:r>
            <w:r>
              <w:rPr>
                <w:rFonts w:ascii="宋体" w:hAnsi="宋体" w:hint="eastAsia"/>
                <w:sz w:val="24"/>
                <w:szCs w:val="24"/>
              </w:rPr>
              <w:t>+</w:t>
            </w:r>
          </w:p>
        </w:tc>
        <w:tc>
          <w:tcPr>
            <w:tcW w:w="561" w:type="dxa"/>
            <w:tcBorders>
              <w:top w:val="single" w:sz="2" w:space="0" w:color="000000"/>
              <w:left w:val="single" w:sz="2" w:space="0" w:color="000000"/>
              <w:bottom w:val="single" w:sz="2" w:space="0" w:color="000000"/>
              <w:right w:val="single" w:sz="2" w:space="0" w:color="000000"/>
            </w:tcBorders>
            <w:hideMark/>
          </w:tcPr>
          <w:p w:rsidR="002A58E6" w14:paraId="4BF9222F" w14:textId="77777777">
            <w:pPr>
              <w:spacing w:line="360" w:lineRule="auto"/>
              <w:ind w:left="312" w:hanging="312" w:hangingChars="130"/>
              <w:jc w:val="center"/>
            </w:pPr>
            <w:r>
              <w:rPr>
                <w:sz w:val="24"/>
                <w:szCs w:val="24"/>
              </w:rPr>
              <w:t>7</w:t>
            </w:r>
            <w:r>
              <w:rPr>
                <w:rFonts w:ascii="宋体" w:hAnsi="宋体" w:hint="eastAsia"/>
                <w:sz w:val="24"/>
                <w:szCs w:val="24"/>
              </w:rPr>
              <w:t>+</w:t>
            </w:r>
          </w:p>
        </w:tc>
        <w:tc>
          <w:tcPr>
            <w:tcW w:w="561" w:type="dxa"/>
            <w:tcBorders>
              <w:top w:val="single" w:sz="2" w:space="0" w:color="000000"/>
              <w:left w:val="single" w:sz="2" w:space="0" w:color="000000"/>
              <w:bottom w:val="single" w:sz="2" w:space="0" w:color="000000"/>
              <w:right w:val="single" w:sz="2" w:space="0" w:color="000000"/>
            </w:tcBorders>
            <w:hideMark/>
          </w:tcPr>
          <w:p w:rsidR="002A58E6" w14:paraId="2FA14595" w14:textId="77777777">
            <w:pPr>
              <w:spacing w:line="360" w:lineRule="auto"/>
              <w:ind w:left="312" w:hanging="312" w:hangingChars="130"/>
              <w:jc w:val="center"/>
            </w:pPr>
            <w:r>
              <w:rPr>
                <w:sz w:val="24"/>
                <w:szCs w:val="24"/>
              </w:rPr>
              <w:t>8</w:t>
            </w:r>
            <w:r>
              <w:rPr>
                <w:rFonts w:ascii="宋体" w:hAnsi="宋体" w:hint="eastAsia"/>
                <w:sz w:val="24"/>
                <w:szCs w:val="24"/>
              </w:rPr>
              <w:t>+</w:t>
            </w:r>
          </w:p>
        </w:tc>
        <w:tc>
          <w:tcPr>
            <w:tcW w:w="561" w:type="dxa"/>
            <w:tcBorders>
              <w:top w:val="single" w:sz="2" w:space="0" w:color="000000"/>
              <w:left w:val="single" w:sz="2" w:space="0" w:color="000000"/>
              <w:bottom w:val="single" w:sz="2" w:space="0" w:color="000000"/>
              <w:right w:val="single" w:sz="2" w:space="0" w:color="000000"/>
            </w:tcBorders>
            <w:hideMark/>
          </w:tcPr>
          <w:p w:rsidR="002A58E6" w14:paraId="58F73D2B" w14:textId="77777777">
            <w:pPr>
              <w:spacing w:line="360" w:lineRule="auto"/>
              <w:ind w:left="312" w:hanging="312" w:hangingChars="130"/>
              <w:jc w:val="center"/>
            </w:pPr>
            <w:r>
              <w:rPr>
                <w:sz w:val="24"/>
                <w:szCs w:val="24"/>
              </w:rPr>
              <w:t>9</w:t>
            </w:r>
            <w:r>
              <w:rPr>
                <w:rFonts w:ascii="宋体" w:hAnsi="宋体" w:hint="eastAsia"/>
                <w:sz w:val="24"/>
                <w:szCs w:val="24"/>
              </w:rPr>
              <w:t>+</w:t>
            </w:r>
          </w:p>
        </w:tc>
        <w:tc>
          <w:tcPr>
            <w:tcW w:w="561" w:type="dxa"/>
            <w:tcBorders>
              <w:top w:val="single" w:sz="2" w:space="0" w:color="000000"/>
              <w:left w:val="single" w:sz="2" w:space="0" w:color="000000"/>
              <w:bottom w:val="single" w:sz="2" w:space="0" w:color="000000"/>
              <w:right w:val="single" w:sz="2" w:space="0" w:color="000000"/>
            </w:tcBorders>
            <w:hideMark/>
          </w:tcPr>
          <w:p w:rsidR="002A58E6" w14:paraId="1FF284DF" w14:textId="77777777">
            <w:pPr>
              <w:spacing w:line="360" w:lineRule="auto"/>
              <w:ind w:left="312" w:hanging="312" w:hangingChars="130"/>
              <w:jc w:val="center"/>
            </w:pPr>
            <w:r>
              <w:rPr>
                <w:sz w:val="24"/>
                <w:szCs w:val="24"/>
              </w:rPr>
              <w:t>10</w:t>
            </w:r>
            <w:r>
              <w:rPr>
                <w:rFonts w:ascii="宋体" w:hAnsi="宋体" w:hint="eastAsia"/>
                <w:sz w:val="24"/>
                <w:szCs w:val="24"/>
              </w:rPr>
              <w:t>+</w:t>
            </w:r>
          </w:p>
        </w:tc>
        <w:tc>
          <w:tcPr>
            <w:tcW w:w="561" w:type="dxa"/>
            <w:tcBorders>
              <w:top w:val="single" w:sz="2" w:space="0" w:color="000000"/>
              <w:left w:val="single" w:sz="2" w:space="0" w:color="000000"/>
              <w:bottom w:val="single" w:sz="2" w:space="0" w:color="000000"/>
              <w:right w:val="single" w:sz="2" w:space="0" w:color="000000"/>
            </w:tcBorders>
            <w:hideMark/>
          </w:tcPr>
          <w:p w:rsidR="002A58E6" w14:paraId="35E02838" w14:textId="77777777">
            <w:pPr>
              <w:spacing w:line="360" w:lineRule="auto"/>
              <w:ind w:left="312" w:hanging="312" w:hangingChars="130"/>
              <w:jc w:val="center"/>
            </w:pPr>
            <w:r>
              <w:rPr>
                <w:sz w:val="24"/>
                <w:szCs w:val="24"/>
              </w:rPr>
              <w:t>11</w:t>
            </w:r>
            <w:r>
              <w:rPr>
                <w:rFonts w:ascii="宋体" w:hAnsi="宋体" w:hint="eastAsia"/>
                <w:sz w:val="24"/>
                <w:szCs w:val="24"/>
              </w:rPr>
              <w:t>+</w:t>
            </w:r>
          </w:p>
        </w:tc>
        <w:tc>
          <w:tcPr>
            <w:tcW w:w="637" w:type="dxa"/>
            <w:tcBorders>
              <w:top w:val="single" w:sz="2" w:space="0" w:color="000000"/>
              <w:left w:val="single" w:sz="2" w:space="0" w:color="000000"/>
              <w:bottom w:val="single" w:sz="2" w:space="0" w:color="000000"/>
              <w:right w:val="single" w:sz="2" w:space="0" w:color="000000"/>
            </w:tcBorders>
            <w:hideMark/>
          </w:tcPr>
          <w:p w:rsidR="002A58E6" w14:paraId="7373B193" w14:textId="77777777">
            <w:pPr>
              <w:spacing w:line="360" w:lineRule="auto"/>
              <w:ind w:left="312" w:hanging="312" w:hangingChars="130"/>
              <w:jc w:val="center"/>
            </w:pPr>
            <w:r>
              <w:rPr>
                <w:rFonts w:ascii="宋体" w:hAnsi="宋体" w:cs="宋体" w:hint="eastAsia"/>
                <w:sz w:val="24"/>
                <w:szCs w:val="24"/>
              </w:rPr>
              <w:t>≧</w:t>
            </w:r>
            <w:r>
              <w:rPr>
                <w:sz w:val="24"/>
                <w:szCs w:val="24"/>
              </w:rPr>
              <w:t>12</w:t>
            </w:r>
          </w:p>
        </w:tc>
      </w:tr>
      <w:tr w14:paraId="2BCFF4CA" w14:textId="77777777">
        <w:tblPrEx>
          <w:tblW w:w="0" w:type="auto"/>
          <w:tblLayout w:type="fixed"/>
          <w:tblCellMar>
            <w:top w:w="30" w:type="dxa"/>
            <w:left w:w="30" w:type="dxa"/>
            <w:bottom w:w="30" w:type="dxa"/>
            <w:right w:w="30" w:type="dxa"/>
          </w:tblCellMar>
          <w:tblLook w:val="04A0"/>
        </w:tblPrEx>
        <w:tc>
          <w:tcPr>
            <w:tcW w:w="849" w:type="dxa"/>
            <w:tcBorders>
              <w:top w:val="single" w:sz="2" w:space="0" w:color="000000"/>
              <w:left w:val="single" w:sz="2" w:space="0" w:color="000000"/>
              <w:bottom w:val="single" w:sz="2" w:space="0" w:color="000000"/>
              <w:right w:val="single" w:sz="2" w:space="0" w:color="000000"/>
            </w:tcBorders>
            <w:hideMark/>
          </w:tcPr>
          <w:p w:rsidR="002A58E6" w14:paraId="47791AEB" w14:textId="77777777">
            <w:pPr>
              <w:spacing w:line="360" w:lineRule="auto"/>
              <w:ind w:left="312" w:hanging="312" w:hangingChars="130"/>
              <w:jc w:val="center"/>
            </w:pPr>
            <w:r>
              <w:rPr>
                <w:rFonts w:hint="eastAsia"/>
                <w:sz w:val="24"/>
                <w:szCs w:val="24"/>
              </w:rPr>
              <w:t>个体数</w:t>
            </w:r>
          </w:p>
        </w:tc>
        <w:tc>
          <w:tcPr>
            <w:tcW w:w="561" w:type="dxa"/>
            <w:tcBorders>
              <w:top w:val="single" w:sz="2" w:space="0" w:color="000000"/>
              <w:left w:val="single" w:sz="2" w:space="0" w:color="000000"/>
              <w:bottom w:val="single" w:sz="2" w:space="0" w:color="000000"/>
              <w:right w:val="single" w:sz="2" w:space="0" w:color="000000"/>
            </w:tcBorders>
            <w:hideMark/>
          </w:tcPr>
          <w:p w:rsidR="002A58E6" w14:paraId="0C0A8AA2" w14:textId="77777777">
            <w:pPr>
              <w:spacing w:line="360" w:lineRule="auto"/>
              <w:ind w:left="312" w:hanging="312" w:hangingChars="130"/>
              <w:jc w:val="center"/>
            </w:pPr>
            <w:r>
              <w:rPr>
                <w:sz w:val="24"/>
                <w:szCs w:val="24"/>
              </w:rPr>
              <w:t>92</w:t>
            </w:r>
          </w:p>
        </w:tc>
        <w:tc>
          <w:tcPr>
            <w:tcW w:w="635" w:type="dxa"/>
            <w:tcBorders>
              <w:top w:val="single" w:sz="2" w:space="0" w:color="000000"/>
              <w:left w:val="single" w:sz="2" w:space="0" w:color="000000"/>
              <w:bottom w:val="single" w:sz="2" w:space="0" w:color="000000"/>
              <w:right w:val="single" w:sz="2" w:space="0" w:color="000000"/>
            </w:tcBorders>
            <w:hideMark/>
          </w:tcPr>
          <w:p w:rsidR="002A58E6" w14:paraId="0B75137D" w14:textId="77777777">
            <w:pPr>
              <w:spacing w:line="360" w:lineRule="auto"/>
              <w:ind w:left="312" w:hanging="312" w:hangingChars="130"/>
              <w:jc w:val="center"/>
            </w:pPr>
            <w:r>
              <w:rPr>
                <w:sz w:val="24"/>
                <w:szCs w:val="24"/>
              </w:rPr>
              <w:t>187</w:t>
            </w:r>
          </w:p>
        </w:tc>
        <w:tc>
          <w:tcPr>
            <w:tcW w:w="635" w:type="dxa"/>
            <w:tcBorders>
              <w:top w:val="single" w:sz="2" w:space="0" w:color="000000"/>
              <w:left w:val="single" w:sz="2" w:space="0" w:color="000000"/>
              <w:bottom w:val="single" w:sz="2" w:space="0" w:color="000000"/>
              <w:right w:val="single" w:sz="2" w:space="0" w:color="000000"/>
            </w:tcBorders>
            <w:hideMark/>
          </w:tcPr>
          <w:p w:rsidR="002A58E6" w14:paraId="25796373" w14:textId="77777777">
            <w:pPr>
              <w:spacing w:line="360" w:lineRule="auto"/>
              <w:ind w:left="312" w:hanging="312" w:hangingChars="130"/>
              <w:jc w:val="center"/>
            </w:pPr>
            <w:r>
              <w:rPr>
                <w:sz w:val="24"/>
                <w:szCs w:val="24"/>
              </w:rPr>
              <w:t>121</w:t>
            </w:r>
          </w:p>
        </w:tc>
        <w:tc>
          <w:tcPr>
            <w:tcW w:w="561" w:type="dxa"/>
            <w:tcBorders>
              <w:top w:val="single" w:sz="2" w:space="0" w:color="000000"/>
              <w:left w:val="single" w:sz="2" w:space="0" w:color="000000"/>
              <w:bottom w:val="single" w:sz="2" w:space="0" w:color="000000"/>
              <w:right w:val="single" w:sz="2" w:space="0" w:color="000000"/>
            </w:tcBorders>
            <w:hideMark/>
          </w:tcPr>
          <w:p w:rsidR="002A58E6" w14:paraId="3CE8FFBB" w14:textId="77777777">
            <w:pPr>
              <w:spacing w:line="360" w:lineRule="auto"/>
              <w:ind w:left="312" w:hanging="312" w:hangingChars="130"/>
              <w:jc w:val="center"/>
            </w:pPr>
            <w:r>
              <w:rPr>
                <w:sz w:val="24"/>
                <w:szCs w:val="24"/>
              </w:rPr>
              <w:t>70</w:t>
            </w:r>
          </w:p>
        </w:tc>
        <w:tc>
          <w:tcPr>
            <w:tcW w:w="561" w:type="dxa"/>
            <w:tcBorders>
              <w:top w:val="single" w:sz="2" w:space="0" w:color="000000"/>
              <w:left w:val="single" w:sz="2" w:space="0" w:color="000000"/>
              <w:bottom w:val="single" w:sz="2" w:space="0" w:color="000000"/>
              <w:right w:val="single" w:sz="2" w:space="0" w:color="000000"/>
            </w:tcBorders>
            <w:hideMark/>
          </w:tcPr>
          <w:p w:rsidR="002A58E6" w14:paraId="51A77150" w14:textId="77777777">
            <w:pPr>
              <w:spacing w:line="360" w:lineRule="auto"/>
              <w:ind w:left="312" w:hanging="312" w:hangingChars="130"/>
              <w:jc w:val="center"/>
            </w:pPr>
            <w:r>
              <w:rPr>
                <w:sz w:val="24"/>
                <w:szCs w:val="24"/>
              </w:rPr>
              <w:t>69</w:t>
            </w:r>
          </w:p>
        </w:tc>
        <w:tc>
          <w:tcPr>
            <w:tcW w:w="561" w:type="dxa"/>
            <w:tcBorders>
              <w:top w:val="single" w:sz="2" w:space="0" w:color="000000"/>
              <w:left w:val="single" w:sz="2" w:space="0" w:color="000000"/>
              <w:bottom w:val="single" w:sz="2" w:space="0" w:color="000000"/>
              <w:right w:val="single" w:sz="2" w:space="0" w:color="000000"/>
            </w:tcBorders>
            <w:hideMark/>
          </w:tcPr>
          <w:p w:rsidR="002A58E6" w14:paraId="1FB2F5BD" w14:textId="77777777">
            <w:pPr>
              <w:spacing w:line="360" w:lineRule="auto"/>
              <w:ind w:left="312" w:hanging="312" w:hangingChars="130"/>
              <w:jc w:val="center"/>
            </w:pPr>
            <w:r>
              <w:rPr>
                <w:sz w:val="24"/>
                <w:szCs w:val="24"/>
              </w:rPr>
              <w:t>62</w:t>
            </w:r>
          </w:p>
        </w:tc>
        <w:tc>
          <w:tcPr>
            <w:tcW w:w="561" w:type="dxa"/>
            <w:tcBorders>
              <w:top w:val="single" w:sz="2" w:space="0" w:color="000000"/>
              <w:left w:val="single" w:sz="2" w:space="0" w:color="000000"/>
              <w:bottom w:val="single" w:sz="2" w:space="0" w:color="000000"/>
              <w:right w:val="single" w:sz="2" w:space="0" w:color="000000"/>
            </w:tcBorders>
            <w:hideMark/>
          </w:tcPr>
          <w:p w:rsidR="002A58E6" w14:paraId="2F8A07D0" w14:textId="77777777">
            <w:pPr>
              <w:spacing w:line="360" w:lineRule="auto"/>
              <w:ind w:left="312" w:hanging="312" w:hangingChars="130"/>
              <w:jc w:val="center"/>
            </w:pPr>
            <w:r>
              <w:rPr>
                <w:sz w:val="24"/>
                <w:szCs w:val="24"/>
              </w:rPr>
              <w:t>63</w:t>
            </w:r>
          </w:p>
        </w:tc>
        <w:tc>
          <w:tcPr>
            <w:tcW w:w="561" w:type="dxa"/>
            <w:tcBorders>
              <w:top w:val="single" w:sz="2" w:space="0" w:color="000000"/>
              <w:left w:val="single" w:sz="2" w:space="0" w:color="000000"/>
              <w:bottom w:val="single" w:sz="2" w:space="0" w:color="000000"/>
              <w:right w:val="single" w:sz="2" w:space="0" w:color="000000"/>
            </w:tcBorders>
            <w:hideMark/>
          </w:tcPr>
          <w:p w:rsidR="002A58E6" w14:paraId="5D5A7A39" w14:textId="77777777">
            <w:pPr>
              <w:spacing w:line="360" w:lineRule="auto"/>
              <w:ind w:left="312" w:hanging="312" w:hangingChars="130"/>
              <w:jc w:val="center"/>
            </w:pPr>
            <w:r>
              <w:rPr>
                <w:sz w:val="24"/>
                <w:szCs w:val="24"/>
              </w:rPr>
              <w:t>72</w:t>
            </w:r>
          </w:p>
        </w:tc>
        <w:tc>
          <w:tcPr>
            <w:tcW w:w="561" w:type="dxa"/>
            <w:tcBorders>
              <w:top w:val="single" w:sz="2" w:space="0" w:color="000000"/>
              <w:left w:val="single" w:sz="2" w:space="0" w:color="000000"/>
              <w:bottom w:val="single" w:sz="2" w:space="0" w:color="000000"/>
              <w:right w:val="single" w:sz="2" w:space="0" w:color="000000"/>
            </w:tcBorders>
            <w:hideMark/>
          </w:tcPr>
          <w:p w:rsidR="002A58E6" w14:paraId="730FB75E" w14:textId="77777777">
            <w:pPr>
              <w:spacing w:line="360" w:lineRule="auto"/>
              <w:ind w:left="312" w:hanging="312" w:hangingChars="130"/>
              <w:jc w:val="center"/>
            </w:pPr>
            <w:r>
              <w:rPr>
                <w:sz w:val="24"/>
                <w:szCs w:val="24"/>
              </w:rPr>
              <w:t>64</w:t>
            </w:r>
          </w:p>
        </w:tc>
        <w:tc>
          <w:tcPr>
            <w:tcW w:w="561" w:type="dxa"/>
            <w:tcBorders>
              <w:top w:val="single" w:sz="2" w:space="0" w:color="000000"/>
              <w:left w:val="single" w:sz="2" w:space="0" w:color="000000"/>
              <w:bottom w:val="single" w:sz="2" w:space="0" w:color="000000"/>
              <w:right w:val="single" w:sz="2" w:space="0" w:color="000000"/>
            </w:tcBorders>
            <w:hideMark/>
          </w:tcPr>
          <w:p w:rsidR="002A58E6" w14:paraId="3CFA891C" w14:textId="77777777">
            <w:pPr>
              <w:spacing w:line="360" w:lineRule="auto"/>
              <w:ind w:left="312" w:hanging="312" w:hangingChars="130"/>
              <w:jc w:val="center"/>
            </w:pPr>
            <w:r>
              <w:rPr>
                <w:sz w:val="24"/>
                <w:szCs w:val="24"/>
              </w:rPr>
              <w:t>55</w:t>
            </w:r>
          </w:p>
        </w:tc>
        <w:tc>
          <w:tcPr>
            <w:tcW w:w="561" w:type="dxa"/>
            <w:tcBorders>
              <w:top w:val="single" w:sz="2" w:space="0" w:color="000000"/>
              <w:left w:val="single" w:sz="2" w:space="0" w:color="000000"/>
              <w:bottom w:val="single" w:sz="2" w:space="0" w:color="000000"/>
              <w:right w:val="single" w:sz="2" w:space="0" w:color="000000"/>
            </w:tcBorders>
            <w:hideMark/>
          </w:tcPr>
          <w:p w:rsidR="002A58E6" w14:paraId="726AC9AA" w14:textId="77777777">
            <w:pPr>
              <w:spacing w:line="360" w:lineRule="auto"/>
              <w:ind w:left="312" w:hanging="312" w:hangingChars="130"/>
              <w:jc w:val="center"/>
            </w:pPr>
            <w:r>
              <w:rPr>
                <w:sz w:val="24"/>
                <w:szCs w:val="24"/>
              </w:rPr>
              <w:t>42</w:t>
            </w:r>
          </w:p>
        </w:tc>
        <w:tc>
          <w:tcPr>
            <w:tcW w:w="561" w:type="dxa"/>
            <w:tcBorders>
              <w:top w:val="single" w:sz="2" w:space="0" w:color="000000"/>
              <w:left w:val="single" w:sz="2" w:space="0" w:color="000000"/>
              <w:bottom w:val="single" w:sz="2" w:space="0" w:color="000000"/>
              <w:right w:val="single" w:sz="2" w:space="0" w:color="000000"/>
            </w:tcBorders>
            <w:hideMark/>
          </w:tcPr>
          <w:p w:rsidR="002A58E6" w14:paraId="05C77E71" w14:textId="77777777">
            <w:pPr>
              <w:spacing w:line="360" w:lineRule="auto"/>
              <w:ind w:left="312" w:hanging="312" w:hangingChars="130"/>
              <w:jc w:val="center"/>
            </w:pPr>
            <w:r>
              <w:rPr>
                <w:sz w:val="24"/>
                <w:szCs w:val="24"/>
              </w:rPr>
              <w:t>39</w:t>
            </w:r>
          </w:p>
        </w:tc>
        <w:tc>
          <w:tcPr>
            <w:tcW w:w="637" w:type="dxa"/>
            <w:tcBorders>
              <w:top w:val="single" w:sz="2" w:space="0" w:color="000000"/>
              <w:left w:val="single" w:sz="2" w:space="0" w:color="000000"/>
              <w:bottom w:val="single" w:sz="2" w:space="0" w:color="000000"/>
              <w:right w:val="single" w:sz="2" w:space="0" w:color="000000"/>
            </w:tcBorders>
            <w:hideMark/>
          </w:tcPr>
          <w:p w:rsidR="002A58E6" w14:paraId="514A55F2" w14:textId="77777777">
            <w:pPr>
              <w:spacing w:line="360" w:lineRule="auto"/>
              <w:ind w:left="312" w:hanging="312" w:hangingChars="130"/>
              <w:jc w:val="center"/>
            </w:pPr>
            <w:r>
              <w:rPr>
                <w:sz w:val="24"/>
                <w:szCs w:val="24"/>
              </w:rPr>
              <w:t>264</w:t>
            </w:r>
          </w:p>
        </w:tc>
      </w:tr>
    </w:tbl>
    <w:p w:rsidR="002A58E6" w:rsidP="002A58E6" w14:paraId="63EEB4FC" w14:textId="77777777">
      <w:pPr>
        <w:spacing w:line="360" w:lineRule="auto"/>
        <w:ind w:left="312" w:hanging="312" w:hangingChars="130"/>
      </w:pPr>
      <w:r>
        <w:rPr>
          <w:rFonts w:hint="eastAsia"/>
          <w:sz w:val="24"/>
          <w:szCs w:val="24"/>
        </w:rPr>
        <w:t>注：表中</w:t>
      </w:r>
      <w:r>
        <w:rPr>
          <w:sz w:val="24"/>
          <w:szCs w:val="24"/>
        </w:rPr>
        <w:t>1</w:t>
      </w:r>
      <w:r>
        <w:rPr>
          <w:rFonts w:ascii="宋体" w:hAnsi="宋体" w:hint="eastAsia"/>
          <w:sz w:val="24"/>
          <w:szCs w:val="24"/>
        </w:rPr>
        <w:t>+</w:t>
      </w:r>
      <w:r>
        <w:rPr>
          <w:rFonts w:hint="eastAsia"/>
          <w:sz w:val="24"/>
          <w:szCs w:val="24"/>
        </w:rPr>
        <w:t>代表鱼的年龄大于等于</w:t>
      </w:r>
      <w:r>
        <w:rPr>
          <w:sz w:val="24"/>
          <w:szCs w:val="24"/>
        </w:rPr>
        <w:t>1</w:t>
      </w:r>
      <w:r>
        <w:rPr>
          <w:rFonts w:hint="eastAsia"/>
          <w:sz w:val="24"/>
          <w:szCs w:val="24"/>
        </w:rPr>
        <w:t>，小于</w:t>
      </w:r>
      <w:r>
        <w:rPr>
          <w:sz w:val="24"/>
          <w:szCs w:val="24"/>
        </w:rPr>
        <w:t>2</w:t>
      </w:r>
      <w:r>
        <w:rPr>
          <w:rFonts w:hint="eastAsia"/>
          <w:sz w:val="24"/>
          <w:szCs w:val="24"/>
        </w:rPr>
        <w:t>，其他以此类推．</w:t>
      </w:r>
    </w:p>
    <w:p w:rsidR="002A58E6" w:rsidP="002A58E6" w14:paraId="57A20BF3" w14:textId="77777777">
      <w:pPr>
        <w:spacing w:line="360" w:lineRule="auto"/>
        <w:ind w:left="312" w:hanging="312" w:hangingChars="130"/>
      </w:pPr>
      <w:r>
        <w:rPr>
          <w:rFonts w:hint="eastAsia"/>
          <w:sz w:val="24"/>
          <w:szCs w:val="24"/>
        </w:rPr>
        <w:t>回答下列问题</w:t>
      </w:r>
    </w:p>
    <w:p w:rsidR="002A58E6" w:rsidP="002A58E6" w14:paraId="7EB15266" w14:textId="77777777">
      <w:pPr>
        <w:spacing w:line="360" w:lineRule="auto"/>
        <w:ind w:left="312" w:hanging="312" w:hangingChars="130"/>
      </w:pPr>
      <w:r>
        <w:rPr>
          <w:rFonts w:hint="eastAsia"/>
          <w:sz w:val="24"/>
          <w:szCs w:val="24"/>
        </w:rPr>
        <w:t>（</w:t>
      </w:r>
      <w:r>
        <w:rPr>
          <w:sz w:val="24"/>
          <w:szCs w:val="24"/>
        </w:rPr>
        <w:t>1</w:t>
      </w:r>
      <w:r>
        <w:rPr>
          <w:rFonts w:hint="eastAsia"/>
          <w:sz w:val="24"/>
          <w:szCs w:val="24"/>
        </w:rPr>
        <w:t>）通常，种群的年龄结构大致可以分为三种类型，分别是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．研究表明：该鱼在</w:t>
      </w:r>
      <w:r>
        <w:rPr>
          <w:sz w:val="24"/>
          <w:szCs w:val="24"/>
        </w:rPr>
        <w:t>3</w:t>
      </w:r>
      <w:r>
        <w:rPr>
          <w:rFonts w:ascii="宋体" w:hAnsi="宋体" w:hint="eastAsia"/>
          <w:sz w:val="24"/>
          <w:szCs w:val="24"/>
        </w:rPr>
        <w:t>+</w:t>
      </w:r>
      <w:r>
        <w:rPr>
          <w:rFonts w:hint="eastAsia"/>
          <w:sz w:val="24"/>
          <w:szCs w:val="24"/>
        </w:rPr>
        <w:t>时达到性成熟（进入成年），</w:t>
      </w:r>
      <w:r>
        <w:rPr>
          <w:sz w:val="24"/>
          <w:szCs w:val="24"/>
        </w:rPr>
        <w:t>9</w:t>
      </w:r>
      <w:r>
        <w:rPr>
          <w:rFonts w:ascii="宋体" w:hAnsi="宋体" w:hint="eastAsia"/>
          <w:sz w:val="24"/>
          <w:szCs w:val="24"/>
        </w:rPr>
        <w:t>+</w:t>
      </w:r>
      <w:r>
        <w:rPr>
          <w:rFonts w:hint="eastAsia"/>
          <w:sz w:val="24"/>
          <w:szCs w:val="24"/>
        </w:rPr>
        <w:t>时丧失繁殖能力（进入老年）根据表中数据可知幼年、成年、老年三个年龄组个体数的比例为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，由此可推测该鱼种群数量的变化趋势是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2A58E6" w:rsidP="002A58E6" w14:paraId="73B30D2F" w14:textId="77777777">
      <w:pPr>
        <w:spacing w:line="360" w:lineRule="auto"/>
        <w:ind w:left="312" w:hanging="312" w:hangingChars="130"/>
      </w:pPr>
      <w:r>
        <w:rPr>
          <w:rFonts w:hint="eastAsia"/>
          <w:sz w:val="24"/>
          <w:szCs w:val="24"/>
        </w:rPr>
        <w:t>（</w:t>
      </w:r>
      <w:r>
        <w:rPr>
          <w:sz w:val="24"/>
          <w:szCs w:val="24"/>
        </w:rPr>
        <w:t>2</w:t>
      </w:r>
      <w:r>
        <w:rPr>
          <w:rFonts w:hint="eastAsia"/>
          <w:sz w:val="24"/>
          <w:szCs w:val="24"/>
        </w:rPr>
        <w:t>）如果要调查这一湖泊中该鱼的种群密度，常用的调查方法是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．该方法常用于调查</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强、活动范围广的动物的种群密度．</w:t>
      </w:r>
    </w:p>
    <w:p w:rsidR="002A58E6" w:rsidP="002A58E6" w14:paraId="370DC746" w14:textId="77777777">
      <w:pPr>
        <w:spacing w:line="360" w:lineRule="auto"/>
        <w:ind w:left="312" w:hanging="312" w:hangingChars="130"/>
      </w:pPr>
      <w:r>
        <w:rPr>
          <w:rFonts w:hint="eastAsia"/>
          <w:sz w:val="24"/>
          <w:szCs w:val="24"/>
        </w:rPr>
        <w:t>（</w:t>
      </w:r>
      <w:r>
        <w:rPr>
          <w:sz w:val="24"/>
          <w:szCs w:val="24"/>
        </w:rPr>
        <w:t>3</w:t>
      </w:r>
      <w:r>
        <w:rPr>
          <w:rFonts w:hint="eastAsia"/>
          <w:sz w:val="24"/>
          <w:szCs w:val="24"/>
        </w:rPr>
        <w:t>）在该湖泊中，能量沿食物链流动时，所具有的两个特点是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2A58E6" w:rsidP="002A58E6" w14:paraId="26A2A45E" w14:textId="77777777">
      <w:pPr>
        <w:spacing w:line="360" w:lineRule="auto"/>
        <w:ind w:left="312" w:hanging="312" w:hangingChars="130"/>
      </w:pPr>
      <w:r>
        <w:rPr>
          <w:sz w:val="24"/>
          <w:szCs w:val="24"/>
        </w:rPr>
        <w:t>10</w:t>
      </w:r>
      <w:r>
        <w:rPr>
          <w:rFonts w:hint="eastAsia"/>
          <w:sz w:val="24"/>
          <w:szCs w:val="24"/>
        </w:rPr>
        <w:t>．（</w:t>
      </w:r>
      <w:r>
        <w:rPr>
          <w:sz w:val="24"/>
          <w:szCs w:val="24"/>
        </w:rPr>
        <w:t>9</w:t>
      </w:r>
      <w:r>
        <w:rPr>
          <w:rFonts w:hint="eastAsia"/>
          <w:sz w:val="24"/>
          <w:szCs w:val="24"/>
        </w:rPr>
        <w:t>分）假设某果蝇种群中雌雄个体数目相等，且对于</w:t>
      </w:r>
      <w:r>
        <w:rPr>
          <w:sz w:val="24"/>
          <w:szCs w:val="24"/>
        </w:rPr>
        <w:t>A</w:t>
      </w:r>
      <w:r>
        <w:rPr>
          <w:rFonts w:hint="eastAsia"/>
          <w:sz w:val="24"/>
          <w:szCs w:val="24"/>
        </w:rPr>
        <w:t>和</w:t>
      </w:r>
      <w:r>
        <w:rPr>
          <w:sz w:val="24"/>
          <w:szCs w:val="24"/>
        </w:rPr>
        <w:t>a</w:t>
      </w:r>
      <w:r>
        <w:rPr>
          <w:rFonts w:hint="eastAsia"/>
          <w:sz w:val="24"/>
          <w:szCs w:val="24"/>
        </w:rPr>
        <w:t>这对等位基因来说只有</w:t>
      </w:r>
      <w:r>
        <w:rPr>
          <w:sz w:val="24"/>
          <w:szCs w:val="24"/>
        </w:rPr>
        <w:t>Aa</w:t>
      </w:r>
      <w:r>
        <w:rPr>
          <w:rFonts w:hint="eastAsia"/>
          <w:sz w:val="24"/>
          <w:szCs w:val="24"/>
        </w:rPr>
        <w:t>一种基因型，回答下列问题：</w:t>
      </w:r>
    </w:p>
    <w:p w:rsidR="002A58E6" w:rsidP="002A58E6" w14:paraId="48887F1E" w14:textId="77777777">
      <w:pPr>
        <w:spacing w:line="360" w:lineRule="auto"/>
        <w:ind w:left="312" w:hanging="312" w:hangingChars="130"/>
      </w:pPr>
      <w:r>
        <w:rPr>
          <w:rFonts w:hint="eastAsia"/>
          <w:sz w:val="24"/>
          <w:szCs w:val="24"/>
        </w:rPr>
        <w:t>（</w:t>
      </w:r>
      <w:r>
        <w:rPr>
          <w:sz w:val="24"/>
          <w:szCs w:val="24"/>
        </w:rPr>
        <w:t>1</w:t>
      </w:r>
      <w:r>
        <w:rPr>
          <w:rFonts w:hint="eastAsia"/>
          <w:sz w:val="24"/>
          <w:szCs w:val="24"/>
        </w:rPr>
        <w:t>）若不考虑基因突变和染色体变异，则该果蝇种群中</w:t>
      </w:r>
      <w:r>
        <w:rPr>
          <w:sz w:val="24"/>
          <w:szCs w:val="24"/>
        </w:rPr>
        <w:t>A</w:t>
      </w:r>
      <w:r>
        <w:rPr>
          <w:rFonts w:hint="eastAsia"/>
          <w:sz w:val="24"/>
          <w:szCs w:val="24"/>
        </w:rPr>
        <w:t>基因频率：</w:t>
      </w:r>
      <w:r>
        <w:rPr>
          <w:sz w:val="24"/>
          <w:szCs w:val="24"/>
        </w:rPr>
        <w:t>a</w:t>
      </w:r>
      <w:r>
        <w:rPr>
          <w:rFonts w:hint="eastAsia"/>
          <w:sz w:val="24"/>
          <w:szCs w:val="24"/>
        </w:rPr>
        <w:t>基因频率为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，理论上，该果蝇种群随机交配产生的第一代中</w:t>
      </w:r>
      <w:r>
        <w:rPr>
          <w:sz w:val="24"/>
          <w:szCs w:val="24"/>
        </w:rPr>
        <w:t>AA</w:t>
      </w:r>
      <w:r>
        <w:rPr>
          <w:rFonts w:hint="eastAsia"/>
          <w:sz w:val="24"/>
          <w:szCs w:val="24"/>
        </w:rPr>
        <w:t>、</w:t>
      </w:r>
      <w:r>
        <w:rPr>
          <w:sz w:val="24"/>
          <w:szCs w:val="24"/>
        </w:rPr>
        <w:t>Aa</w:t>
      </w:r>
      <w:r>
        <w:rPr>
          <w:rFonts w:hint="eastAsia"/>
          <w:sz w:val="24"/>
          <w:szCs w:val="24"/>
        </w:rPr>
        <w:t>和</w:t>
      </w:r>
      <w:r>
        <w:rPr>
          <w:sz w:val="24"/>
          <w:szCs w:val="24"/>
        </w:rPr>
        <w:t>aa</w:t>
      </w:r>
      <w:r>
        <w:rPr>
          <w:rFonts w:hint="eastAsia"/>
          <w:sz w:val="24"/>
          <w:szCs w:val="24"/>
        </w:rPr>
        <w:t>的数量比为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r>
        <w:rPr>
          <w:sz w:val="24"/>
          <w:szCs w:val="24"/>
        </w:rPr>
        <w:t>A</w:t>
      </w:r>
      <w:r>
        <w:rPr>
          <w:rFonts w:hint="eastAsia"/>
          <w:sz w:val="24"/>
          <w:szCs w:val="24"/>
        </w:rPr>
        <w:t>基因频率为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2A58E6" w:rsidP="002A58E6" w14:paraId="37817AFD" w14:textId="77777777">
      <w:pPr>
        <w:spacing w:line="360" w:lineRule="auto"/>
        <w:ind w:left="312" w:hanging="312" w:hangingChars="130"/>
      </w:pPr>
      <w:r>
        <w:rPr>
          <w:rFonts w:hint="eastAsia"/>
          <w:sz w:val="24"/>
          <w:szCs w:val="24"/>
        </w:rPr>
        <w:t>（</w:t>
      </w:r>
      <w:r>
        <w:rPr>
          <w:sz w:val="24"/>
          <w:szCs w:val="24"/>
        </w:rPr>
        <w:t>2</w:t>
      </w:r>
      <w:r>
        <w:rPr>
          <w:rFonts w:hint="eastAsia"/>
          <w:sz w:val="24"/>
          <w:szCs w:val="24"/>
        </w:rPr>
        <w:t>）若该果蝇种群随机交配的实验结果是第一代中只有</w:t>
      </w:r>
      <w:r>
        <w:rPr>
          <w:sz w:val="24"/>
          <w:szCs w:val="24"/>
        </w:rPr>
        <w:t>Aa</w:t>
      </w:r>
      <w:r>
        <w:rPr>
          <w:rFonts w:hint="eastAsia"/>
          <w:sz w:val="24"/>
          <w:szCs w:val="24"/>
        </w:rPr>
        <w:t>和</w:t>
      </w:r>
      <w:r>
        <w:rPr>
          <w:sz w:val="24"/>
          <w:szCs w:val="24"/>
        </w:rPr>
        <w:t>aa</w:t>
      </w:r>
      <w:r>
        <w:rPr>
          <w:rFonts w:hint="eastAsia"/>
          <w:sz w:val="24"/>
          <w:szCs w:val="24"/>
        </w:rPr>
        <w:t>两种基因型，</w:t>
      </w:r>
      <w:r>
        <w:rPr>
          <w:rFonts w:hint="eastAsia"/>
          <w:sz w:val="24"/>
          <w:szCs w:val="24"/>
        </w:rPr>
        <w:t>且比例为</w:t>
      </w:r>
      <w:r>
        <w:rPr>
          <w:sz w:val="24"/>
          <w:szCs w:val="24"/>
        </w:rPr>
        <w:t>2</w:t>
      </w:r>
      <w:r>
        <w:rPr>
          <w:rFonts w:hint="eastAsia"/>
          <w:sz w:val="24"/>
          <w:szCs w:val="24"/>
        </w:rPr>
        <w:t>：</w:t>
      </w:r>
      <w:r>
        <w:rPr>
          <w:sz w:val="24"/>
          <w:szCs w:val="24"/>
        </w:rPr>
        <w:t>1</w:t>
      </w:r>
      <w:r>
        <w:rPr>
          <w:rFonts w:hint="eastAsia"/>
          <w:sz w:val="24"/>
          <w:szCs w:val="24"/>
        </w:rPr>
        <w:t>，则对该结果最合理的解释是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，根据这一解释，第一代再随机交配，第二代中</w:t>
      </w:r>
      <w:r>
        <w:rPr>
          <w:sz w:val="24"/>
          <w:szCs w:val="24"/>
        </w:rPr>
        <w:t>Aa</w:t>
      </w:r>
      <w:r>
        <w:rPr>
          <w:rFonts w:hint="eastAsia"/>
          <w:sz w:val="24"/>
          <w:szCs w:val="24"/>
        </w:rPr>
        <w:t>和</w:t>
      </w:r>
      <w:r>
        <w:rPr>
          <w:sz w:val="24"/>
          <w:szCs w:val="24"/>
        </w:rPr>
        <w:t>aa</w:t>
      </w:r>
      <w:r>
        <w:rPr>
          <w:rFonts w:hint="eastAsia"/>
          <w:sz w:val="24"/>
          <w:szCs w:val="24"/>
        </w:rPr>
        <w:t>基因型个体数量的比例应为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2A58E6" w:rsidP="002A58E6" w14:paraId="7D58149F" w14:textId="77777777">
      <w:pPr>
        <w:spacing w:line="360" w:lineRule="auto"/>
        <w:ind w:left="312" w:hanging="312" w:hangingChars="130"/>
      </w:pPr>
      <w:r>
        <w:rPr>
          <w:rFonts w:hint="eastAsia"/>
          <w:sz w:val="24"/>
          <w:szCs w:val="24"/>
        </w:rPr>
        <w:t>　</w:t>
      </w:r>
    </w:p>
    <w:p w:rsidR="002A58E6" w:rsidP="002A58E6" w14:paraId="371C1A5D" w14:textId="77777777">
      <w:pPr>
        <w:spacing w:line="360" w:lineRule="auto"/>
        <w:ind w:left="312" w:hanging="312" w:hangingChars="130"/>
      </w:pPr>
      <w:r>
        <w:rPr>
          <w:rFonts w:hint="eastAsia"/>
          <w:b/>
          <w:sz w:val="24"/>
          <w:szCs w:val="24"/>
        </w:rPr>
        <w:t>三、选考题【生物</w:t>
      </w:r>
      <w:r>
        <w:rPr>
          <w:b/>
          <w:sz w:val="24"/>
          <w:szCs w:val="24"/>
        </w:rPr>
        <w:t>-</w:t>
      </w:r>
      <w:r>
        <w:rPr>
          <w:rFonts w:hint="eastAsia"/>
          <w:b/>
          <w:sz w:val="24"/>
          <w:szCs w:val="24"/>
        </w:rPr>
        <w:t>选修</w:t>
      </w:r>
      <w:r>
        <w:rPr>
          <w:b/>
          <w:sz w:val="24"/>
          <w:szCs w:val="24"/>
        </w:rPr>
        <w:t>1</w:t>
      </w:r>
      <w:r>
        <w:rPr>
          <w:rFonts w:hint="eastAsia"/>
          <w:b/>
          <w:sz w:val="24"/>
          <w:szCs w:val="24"/>
        </w:rPr>
        <w:t>：生物技术实验】</w:t>
      </w:r>
    </w:p>
    <w:p w:rsidR="002A58E6" w:rsidP="002A58E6" w14:paraId="4C2C2C57" w14:textId="77777777">
      <w:pPr>
        <w:spacing w:line="360" w:lineRule="auto"/>
        <w:ind w:left="312" w:hanging="312" w:hangingChars="130"/>
      </w:pPr>
      <w:r>
        <w:rPr>
          <w:sz w:val="24"/>
          <w:szCs w:val="24"/>
        </w:rPr>
        <w:t>11</w:t>
      </w:r>
      <w:r>
        <w:rPr>
          <w:rFonts w:hint="eastAsia"/>
          <w:sz w:val="24"/>
          <w:szCs w:val="24"/>
        </w:rPr>
        <w:t>．（</w:t>
      </w:r>
      <w:r>
        <w:rPr>
          <w:sz w:val="24"/>
          <w:szCs w:val="24"/>
        </w:rPr>
        <w:t>15</w:t>
      </w:r>
      <w:r>
        <w:rPr>
          <w:rFonts w:hint="eastAsia"/>
          <w:sz w:val="24"/>
          <w:szCs w:val="24"/>
        </w:rPr>
        <w:t>分）已知微生物</w:t>
      </w:r>
      <w:r>
        <w:rPr>
          <w:sz w:val="24"/>
          <w:szCs w:val="24"/>
        </w:rPr>
        <w:t>A</w:t>
      </w:r>
      <w:r>
        <w:rPr>
          <w:rFonts w:hint="eastAsia"/>
          <w:sz w:val="24"/>
          <w:szCs w:val="24"/>
        </w:rPr>
        <w:t>可以产生油脂，微生物</w:t>
      </w:r>
      <w:r>
        <w:rPr>
          <w:sz w:val="24"/>
          <w:szCs w:val="24"/>
        </w:rPr>
        <w:t>B</w:t>
      </w:r>
      <w:r>
        <w:rPr>
          <w:rFonts w:hint="eastAsia"/>
          <w:sz w:val="24"/>
          <w:szCs w:val="24"/>
        </w:rPr>
        <w:t>可以产生脂肪酶．脂肪酶和油脂可用于生物柴油的生产．回答有关问题：</w:t>
      </w:r>
    </w:p>
    <w:p w:rsidR="002A58E6" w:rsidP="002A58E6" w14:paraId="55ADD52E" w14:textId="77777777">
      <w:pPr>
        <w:spacing w:line="360" w:lineRule="auto"/>
        <w:ind w:left="312" w:hanging="312" w:hangingChars="130"/>
      </w:pPr>
      <w:r>
        <w:rPr>
          <w:rFonts w:hint="eastAsia"/>
          <w:sz w:val="24"/>
          <w:szCs w:val="24"/>
        </w:rPr>
        <w:t>（</w:t>
      </w:r>
      <w:r>
        <w:rPr>
          <w:sz w:val="24"/>
          <w:szCs w:val="24"/>
        </w:rPr>
        <w:t>1</w:t>
      </w:r>
      <w:r>
        <w:rPr>
          <w:rFonts w:hint="eastAsia"/>
          <w:sz w:val="24"/>
          <w:szCs w:val="24"/>
        </w:rPr>
        <w:t>）显微观察时，微生物</w:t>
      </w:r>
      <w:r>
        <w:rPr>
          <w:sz w:val="24"/>
          <w:szCs w:val="24"/>
        </w:rPr>
        <w:t>A</w:t>
      </w:r>
      <w:r>
        <w:rPr>
          <w:rFonts w:hint="eastAsia"/>
          <w:sz w:val="24"/>
          <w:szCs w:val="24"/>
        </w:rPr>
        <w:t>菌体中的油脂通常可用</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染色．微生物</w:t>
      </w:r>
      <w:r>
        <w:rPr>
          <w:sz w:val="24"/>
          <w:szCs w:val="24"/>
        </w:rPr>
        <w:t>A</w:t>
      </w:r>
      <w:r>
        <w:rPr>
          <w:rFonts w:hint="eastAsia"/>
          <w:sz w:val="24"/>
          <w:szCs w:val="24"/>
        </w:rPr>
        <w:t>产生的油脂不易挥发，可选用</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（填</w:t>
      </w:r>
      <w:r>
        <w:rPr>
          <w:sz w:val="24"/>
          <w:szCs w:val="24"/>
        </w:rPr>
        <w:t>“</w:t>
      </w:r>
      <w:r>
        <w:rPr>
          <w:rFonts w:hint="eastAsia"/>
          <w:sz w:val="24"/>
          <w:szCs w:val="24"/>
        </w:rPr>
        <w:t>萃取法</w:t>
      </w:r>
      <w:r>
        <w:rPr>
          <w:sz w:val="24"/>
          <w:szCs w:val="24"/>
        </w:rPr>
        <w:t>”</w:t>
      </w:r>
      <w:r>
        <w:rPr>
          <w:rFonts w:hint="eastAsia"/>
          <w:sz w:val="24"/>
          <w:szCs w:val="24"/>
        </w:rPr>
        <w:t>或</w:t>
      </w:r>
      <w:r>
        <w:rPr>
          <w:sz w:val="24"/>
          <w:szCs w:val="24"/>
        </w:rPr>
        <w:t>“</w:t>
      </w:r>
      <w:r>
        <w:rPr>
          <w:rFonts w:hint="eastAsia"/>
          <w:sz w:val="24"/>
          <w:szCs w:val="24"/>
        </w:rPr>
        <w:t>水蒸气蒸馏法</w:t>
      </w:r>
      <w:r>
        <w:rPr>
          <w:sz w:val="24"/>
          <w:szCs w:val="24"/>
        </w:rPr>
        <w:t>”</w:t>
      </w:r>
      <w:r>
        <w:rPr>
          <w:rFonts w:hint="eastAsia"/>
          <w:sz w:val="24"/>
          <w:szCs w:val="24"/>
        </w:rPr>
        <w:t>）从菌体中提取．</w:t>
      </w:r>
    </w:p>
    <w:p w:rsidR="002A58E6" w:rsidP="002A58E6" w14:paraId="08D81BCF" w14:textId="77777777">
      <w:pPr>
        <w:spacing w:line="360" w:lineRule="auto"/>
        <w:ind w:left="312" w:hanging="312" w:hangingChars="130"/>
      </w:pPr>
      <w:r>
        <w:rPr>
          <w:rFonts w:hint="eastAsia"/>
          <w:sz w:val="24"/>
          <w:szCs w:val="24"/>
        </w:rPr>
        <w:t>（</w:t>
      </w:r>
      <w:r>
        <w:rPr>
          <w:sz w:val="24"/>
          <w:szCs w:val="24"/>
        </w:rPr>
        <w:t>2</w:t>
      </w:r>
      <w:r>
        <w:rPr>
          <w:rFonts w:hint="eastAsia"/>
          <w:sz w:val="24"/>
          <w:szCs w:val="24"/>
        </w:rPr>
        <w:t>）为了从自然界中获得能产生脂肪酶的微生物</w:t>
      </w:r>
      <w:r>
        <w:rPr>
          <w:sz w:val="24"/>
          <w:szCs w:val="24"/>
        </w:rPr>
        <w:t>B</w:t>
      </w:r>
      <w:r>
        <w:rPr>
          <w:rFonts w:hint="eastAsia"/>
          <w:sz w:val="24"/>
          <w:szCs w:val="24"/>
        </w:rPr>
        <w:t>的单菌落，可从含有油料作物种子腐烂物的土壤中取样，并应选用以</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为碳源的固体培养基进行培养．从功能上划分该培养基属于</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培养基</w:t>
      </w:r>
    </w:p>
    <w:p w:rsidR="002A58E6" w:rsidP="002A58E6" w14:paraId="65AF7C5C" w14:textId="77777777">
      <w:pPr>
        <w:spacing w:line="360" w:lineRule="auto"/>
        <w:ind w:left="312" w:hanging="312" w:hangingChars="130"/>
      </w:pPr>
      <w:r>
        <w:rPr>
          <w:rFonts w:hint="eastAsia"/>
          <w:sz w:val="24"/>
          <w:szCs w:val="24"/>
        </w:rPr>
        <w:t>（</w:t>
      </w:r>
      <w:r>
        <w:rPr>
          <w:sz w:val="24"/>
          <w:szCs w:val="24"/>
        </w:rPr>
        <w:t>3</w:t>
      </w:r>
      <w:r>
        <w:rPr>
          <w:rFonts w:hint="eastAsia"/>
          <w:sz w:val="24"/>
          <w:szCs w:val="24"/>
        </w:rPr>
        <w:t>）若要测定培养液中微生物</w:t>
      </w:r>
      <w:r>
        <w:rPr>
          <w:sz w:val="24"/>
          <w:szCs w:val="24"/>
        </w:rPr>
        <w:t>B</w:t>
      </w:r>
      <w:r>
        <w:rPr>
          <w:rFonts w:hint="eastAsia"/>
          <w:sz w:val="24"/>
          <w:szCs w:val="24"/>
        </w:rPr>
        <w:t>的菌体数，可在显微镜下用</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直接计数；若要测定其活菌数量，可选用</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法进行计数．</w:t>
      </w:r>
    </w:p>
    <w:p w:rsidR="002A58E6" w:rsidP="002A58E6" w14:paraId="1842BD0D" w14:textId="77777777">
      <w:pPr>
        <w:spacing w:line="360" w:lineRule="auto"/>
        <w:ind w:left="312" w:hanging="312" w:hangingChars="130"/>
      </w:pPr>
      <w:r>
        <w:rPr>
          <w:rFonts w:hint="eastAsia"/>
          <w:sz w:val="24"/>
          <w:szCs w:val="24"/>
        </w:rPr>
        <w:t>（</w:t>
      </w:r>
      <w:r>
        <w:rPr>
          <w:sz w:val="24"/>
          <w:szCs w:val="24"/>
        </w:rPr>
        <w:t>4</w:t>
      </w:r>
      <w:r>
        <w:rPr>
          <w:rFonts w:hint="eastAsia"/>
          <w:sz w:val="24"/>
          <w:szCs w:val="24"/>
        </w:rPr>
        <w:t>）为了确定微生物</w:t>
      </w:r>
      <w:r>
        <w:rPr>
          <w:sz w:val="24"/>
          <w:szCs w:val="24"/>
        </w:rPr>
        <w:t>B</w:t>
      </w:r>
      <w:r>
        <w:rPr>
          <w:rFonts w:hint="eastAsia"/>
          <w:sz w:val="24"/>
          <w:szCs w:val="24"/>
        </w:rPr>
        <w:t>产生的脂肪酶的最适温度，某同学测得相同时间内，在</w:t>
      </w:r>
      <w:r>
        <w:rPr>
          <w:sz w:val="24"/>
          <w:szCs w:val="24"/>
        </w:rPr>
        <w:t>35</w:t>
      </w:r>
      <w:r>
        <w:rPr>
          <w:rFonts w:ascii="宋体" w:hAnsi="宋体" w:cs="宋体" w:hint="eastAsia"/>
          <w:sz w:val="24"/>
          <w:szCs w:val="24"/>
        </w:rPr>
        <w:t>℃</w:t>
      </w:r>
      <w:r>
        <w:rPr>
          <w:rFonts w:hint="eastAsia"/>
          <w:sz w:val="24"/>
          <w:szCs w:val="24"/>
        </w:rPr>
        <w:t>、</w:t>
      </w:r>
      <w:r>
        <w:rPr>
          <w:sz w:val="24"/>
          <w:szCs w:val="24"/>
        </w:rPr>
        <w:t>40</w:t>
      </w:r>
      <w:r>
        <w:rPr>
          <w:rFonts w:ascii="宋体" w:hAnsi="宋体" w:cs="宋体" w:hint="eastAsia"/>
          <w:sz w:val="24"/>
          <w:szCs w:val="24"/>
        </w:rPr>
        <w:t>℃</w:t>
      </w:r>
      <w:r>
        <w:rPr>
          <w:rFonts w:hint="eastAsia"/>
          <w:sz w:val="24"/>
          <w:szCs w:val="24"/>
        </w:rPr>
        <w:t>、</w:t>
      </w:r>
      <w:r>
        <w:rPr>
          <w:sz w:val="24"/>
          <w:szCs w:val="24"/>
        </w:rPr>
        <w:t>45</w:t>
      </w:r>
      <w:r>
        <w:rPr>
          <w:rFonts w:ascii="宋体" w:hAnsi="宋体" w:cs="宋体" w:hint="eastAsia"/>
          <w:sz w:val="24"/>
          <w:szCs w:val="24"/>
        </w:rPr>
        <w:t>℃</w:t>
      </w:r>
      <w:r>
        <w:rPr>
          <w:rFonts w:hint="eastAsia"/>
          <w:sz w:val="24"/>
          <w:szCs w:val="24"/>
        </w:rPr>
        <w:t>温度下降解</w:t>
      </w:r>
      <w:r>
        <w:rPr>
          <w:sz w:val="24"/>
          <w:szCs w:val="24"/>
        </w:rPr>
        <w:t>10g</w:t>
      </w:r>
      <w:r>
        <w:rPr>
          <w:rFonts w:hint="eastAsia"/>
          <w:sz w:val="24"/>
          <w:szCs w:val="24"/>
        </w:rPr>
        <w:t>油脂所需酶量依次为</w:t>
      </w:r>
      <w:r>
        <w:rPr>
          <w:sz w:val="24"/>
          <w:szCs w:val="24"/>
        </w:rPr>
        <w:t>4mg</w:t>
      </w:r>
      <w:r>
        <w:rPr>
          <w:rFonts w:hint="eastAsia"/>
          <w:sz w:val="24"/>
          <w:szCs w:val="24"/>
        </w:rPr>
        <w:t>、</w:t>
      </w:r>
      <w:r>
        <w:rPr>
          <w:sz w:val="24"/>
          <w:szCs w:val="24"/>
        </w:rPr>
        <w:t>1mg</w:t>
      </w:r>
      <w:r>
        <w:rPr>
          <w:rFonts w:hint="eastAsia"/>
          <w:sz w:val="24"/>
          <w:szCs w:val="24"/>
        </w:rPr>
        <w:t>、</w:t>
      </w:r>
      <w:r>
        <w:rPr>
          <w:sz w:val="24"/>
          <w:szCs w:val="24"/>
        </w:rPr>
        <w:t>6mg</w:t>
      </w:r>
      <w:r>
        <w:rPr>
          <w:rFonts w:hint="eastAsia"/>
          <w:sz w:val="24"/>
          <w:szCs w:val="24"/>
        </w:rPr>
        <w:t>，则上述三个温度中，</w:t>
      </w:r>
      <w:r>
        <w:rPr>
          <w:rFonts w:hint="eastAsia"/>
          <w:sz w:val="24"/>
          <w:szCs w:val="24"/>
          <w:u w:val="single"/>
        </w:rPr>
        <w:t>　</w:t>
      </w:r>
      <w:r>
        <w:rPr>
          <w:sz w:val="24"/>
          <w:szCs w:val="24"/>
          <w:u w:val="single"/>
        </w:rPr>
        <w:t xml:space="preserve">   </w:t>
      </w:r>
      <w:r>
        <w:rPr>
          <w:rFonts w:hint="eastAsia"/>
          <w:sz w:val="24"/>
          <w:szCs w:val="24"/>
          <w:u w:val="single"/>
        </w:rPr>
        <w:t>　</w:t>
      </w:r>
      <w:r>
        <w:rPr>
          <w:rFonts w:ascii="宋体" w:hAnsi="宋体" w:cs="宋体" w:hint="eastAsia"/>
          <w:sz w:val="24"/>
          <w:szCs w:val="24"/>
        </w:rPr>
        <w:t>℃</w:t>
      </w:r>
      <w:r>
        <w:rPr>
          <w:rFonts w:hint="eastAsia"/>
          <w:sz w:val="24"/>
          <w:szCs w:val="24"/>
        </w:rPr>
        <w:t>条件下该酶活力最小．为了进一步确定该酶的最适温度，应围绕</w:t>
      </w:r>
      <w:r>
        <w:rPr>
          <w:rFonts w:hint="eastAsia"/>
          <w:sz w:val="24"/>
          <w:szCs w:val="24"/>
          <w:u w:val="single"/>
        </w:rPr>
        <w:t>　</w:t>
      </w:r>
      <w:r>
        <w:rPr>
          <w:sz w:val="24"/>
          <w:szCs w:val="24"/>
          <w:u w:val="single"/>
        </w:rPr>
        <w:t xml:space="preserve">   </w:t>
      </w:r>
      <w:r>
        <w:rPr>
          <w:rFonts w:hint="eastAsia"/>
          <w:sz w:val="24"/>
          <w:szCs w:val="24"/>
          <w:u w:val="single"/>
        </w:rPr>
        <w:t>　</w:t>
      </w:r>
      <w:r>
        <w:rPr>
          <w:rFonts w:ascii="宋体" w:hAnsi="宋体" w:cs="宋体" w:hint="eastAsia"/>
          <w:sz w:val="24"/>
          <w:szCs w:val="24"/>
        </w:rPr>
        <w:t>℃</w:t>
      </w:r>
      <w:r>
        <w:rPr>
          <w:rFonts w:hint="eastAsia"/>
          <w:sz w:val="24"/>
          <w:szCs w:val="24"/>
        </w:rPr>
        <w:t>设计后续实验．</w:t>
      </w:r>
    </w:p>
    <w:p w:rsidR="002A58E6" w:rsidP="002A58E6" w14:paraId="535B5737" w14:textId="77777777">
      <w:pPr>
        <w:spacing w:line="360" w:lineRule="auto"/>
        <w:ind w:left="312" w:hanging="312" w:hangingChars="130"/>
      </w:pPr>
      <w:r>
        <w:rPr>
          <w:rFonts w:hint="eastAsia"/>
          <w:sz w:val="24"/>
          <w:szCs w:val="24"/>
        </w:rPr>
        <w:t>　</w:t>
      </w:r>
    </w:p>
    <w:p w:rsidR="002A58E6" w:rsidP="002A58E6" w14:paraId="722DBB5C" w14:textId="77777777">
      <w:pPr>
        <w:spacing w:line="360" w:lineRule="auto"/>
        <w:ind w:left="312" w:hanging="312" w:hangingChars="130"/>
      </w:pPr>
      <w:r>
        <w:rPr>
          <w:rFonts w:hint="eastAsia"/>
          <w:b/>
          <w:sz w:val="24"/>
          <w:szCs w:val="24"/>
        </w:rPr>
        <w:t>（二）【生物</w:t>
      </w:r>
      <w:r>
        <w:rPr>
          <w:b/>
          <w:sz w:val="24"/>
          <w:szCs w:val="24"/>
        </w:rPr>
        <w:t>-</w:t>
      </w:r>
      <w:r>
        <w:rPr>
          <w:rFonts w:hint="eastAsia"/>
          <w:b/>
          <w:sz w:val="24"/>
          <w:szCs w:val="24"/>
        </w:rPr>
        <w:t>选修</w:t>
      </w:r>
      <w:r>
        <w:rPr>
          <w:b/>
          <w:sz w:val="24"/>
          <w:szCs w:val="24"/>
        </w:rPr>
        <w:t>3</w:t>
      </w:r>
      <w:r>
        <w:rPr>
          <w:rFonts w:hint="eastAsia"/>
          <w:b/>
          <w:sz w:val="24"/>
          <w:szCs w:val="24"/>
        </w:rPr>
        <w:t>：现代生物科技专题】</w:t>
      </w:r>
    </w:p>
    <w:p w:rsidR="002A58E6" w:rsidP="002A58E6" w14:paraId="5F79A537" w14:textId="77777777">
      <w:pPr>
        <w:spacing w:line="360" w:lineRule="auto"/>
        <w:ind w:left="312" w:hanging="312" w:hangingChars="130"/>
      </w:pPr>
      <w:r>
        <w:rPr>
          <w:sz w:val="24"/>
          <w:szCs w:val="24"/>
        </w:rPr>
        <w:t>12</w:t>
      </w:r>
      <w:r>
        <w:rPr>
          <w:rFonts w:hint="eastAsia"/>
          <w:sz w:val="24"/>
          <w:szCs w:val="24"/>
        </w:rPr>
        <w:t>．</w:t>
      </w:r>
      <w:r>
        <w:rPr>
          <w:sz w:val="24"/>
          <w:szCs w:val="24"/>
        </w:rPr>
        <w:t>HIV</w:t>
      </w:r>
      <w:r>
        <w:rPr>
          <w:rFonts w:hint="eastAsia"/>
          <w:sz w:val="24"/>
          <w:szCs w:val="24"/>
        </w:rPr>
        <w:t>属于逆转录病毒，是艾滋病的病原体，回答下列问题：</w:t>
      </w:r>
    </w:p>
    <w:p w:rsidR="002A58E6" w:rsidP="002A58E6" w14:paraId="58C4254B" w14:textId="77777777">
      <w:pPr>
        <w:spacing w:line="360" w:lineRule="auto"/>
        <w:ind w:left="312" w:hanging="312" w:hangingChars="130"/>
      </w:pPr>
      <w:r>
        <w:rPr>
          <w:rFonts w:hint="eastAsia"/>
          <w:sz w:val="24"/>
          <w:szCs w:val="24"/>
        </w:rPr>
        <w:t>（</w:t>
      </w:r>
      <w:r>
        <w:rPr>
          <w:sz w:val="24"/>
          <w:szCs w:val="24"/>
        </w:rPr>
        <w:t>1</w:t>
      </w:r>
      <w:r>
        <w:rPr>
          <w:rFonts w:hint="eastAsia"/>
          <w:sz w:val="24"/>
          <w:szCs w:val="24"/>
        </w:rPr>
        <w:t>）用基因工程方法制备</w:t>
      </w:r>
      <w:r>
        <w:rPr>
          <w:sz w:val="24"/>
          <w:szCs w:val="24"/>
        </w:rPr>
        <w:t>HIV</w:t>
      </w:r>
      <w:r>
        <w:rPr>
          <w:rFonts w:hint="eastAsia"/>
          <w:sz w:val="24"/>
          <w:szCs w:val="24"/>
        </w:rPr>
        <w:t>的某蛋白（目的蛋白）时，可先提取</w:t>
      </w:r>
      <w:r>
        <w:rPr>
          <w:sz w:val="24"/>
          <w:szCs w:val="24"/>
        </w:rPr>
        <w:t>HIV</w:t>
      </w:r>
      <w:r>
        <w:rPr>
          <w:rFonts w:hint="eastAsia"/>
          <w:sz w:val="24"/>
          <w:szCs w:val="24"/>
        </w:rPr>
        <w:t>中的</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，以其作为模板，在</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的作用下合成</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，获取该目的蛋白的基因，构建重组表达载体，随后导入受体细胞。</w:t>
      </w:r>
    </w:p>
    <w:p w:rsidR="002A58E6" w:rsidP="002A58E6" w14:paraId="77D780D0" w14:textId="77777777">
      <w:pPr>
        <w:spacing w:line="360" w:lineRule="auto"/>
        <w:ind w:left="312" w:hanging="312" w:hangingChars="130"/>
      </w:pPr>
      <w:r>
        <w:rPr>
          <w:rFonts w:hint="eastAsia"/>
          <w:sz w:val="24"/>
          <w:szCs w:val="24"/>
        </w:rPr>
        <w:t>（</w:t>
      </w:r>
      <w:r>
        <w:rPr>
          <w:sz w:val="24"/>
          <w:szCs w:val="24"/>
        </w:rPr>
        <w:t>2</w:t>
      </w:r>
      <w:r>
        <w:rPr>
          <w:rFonts w:hint="eastAsia"/>
          <w:sz w:val="24"/>
          <w:szCs w:val="24"/>
        </w:rPr>
        <w:t>）从受体细胞中分离纯化出目的蛋白，该蛋白作为抗原注入机体后，刺激机体产生的可与此蛋白结合的相应分泌蛋白是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，该分泌蛋白可用于检测受试者血清中的</w:t>
      </w:r>
      <w:r>
        <w:rPr>
          <w:sz w:val="24"/>
          <w:szCs w:val="24"/>
        </w:rPr>
        <w:t>HIV</w:t>
      </w:r>
      <w:r>
        <w:rPr>
          <w:rFonts w:hint="eastAsia"/>
          <w:sz w:val="24"/>
          <w:szCs w:val="24"/>
        </w:rPr>
        <w:t>，检测的原理是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2A58E6" w:rsidP="002A58E6" w14:paraId="2175B236" w14:textId="77777777">
      <w:pPr>
        <w:spacing w:line="360" w:lineRule="auto"/>
        <w:ind w:left="312" w:hanging="312" w:hangingChars="130"/>
      </w:pPr>
      <w:r>
        <w:rPr>
          <w:rFonts w:hint="eastAsia"/>
          <w:sz w:val="24"/>
          <w:szCs w:val="24"/>
        </w:rPr>
        <w:t>（</w:t>
      </w:r>
      <w:r>
        <w:rPr>
          <w:sz w:val="24"/>
          <w:szCs w:val="24"/>
        </w:rPr>
        <w:t>3</w:t>
      </w:r>
      <w:r>
        <w:rPr>
          <w:rFonts w:hint="eastAsia"/>
          <w:sz w:val="24"/>
          <w:szCs w:val="24"/>
        </w:rPr>
        <w:t>）已知某种菌导致的肺炎在健康人群中罕见，但是在艾滋病患者中却多发，引起这种现象的根本原因是</w:t>
      </w:r>
      <w:r>
        <w:rPr>
          <w:sz w:val="24"/>
          <w:szCs w:val="24"/>
        </w:rPr>
        <w:t>HIV</w:t>
      </w:r>
      <w:r>
        <w:rPr>
          <w:rFonts w:hint="eastAsia"/>
          <w:sz w:val="24"/>
          <w:szCs w:val="24"/>
        </w:rPr>
        <w:t>主要感染和破坏了患者的部分</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细胞，</w:t>
      </w:r>
      <w:r>
        <w:rPr>
          <w:rFonts w:hint="eastAsia"/>
          <w:sz w:val="24"/>
          <w:szCs w:val="24"/>
        </w:rPr>
        <w:t>降低了患者免疫系统的防卫功能。</w:t>
      </w:r>
    </w:p>
    <w:p w:rsidR="002A58E6" w:rsidP="002A58E6" w14:paraId="3B4284D4" w14:textId="77777777">
      <w:pPr>
        <w:spacing w:line="360" w:lineRule="auto"/>
        <w:ind w:left="312" w:hanging="312" w:hangingChars="130"/>
      </w:pPr>
      <w:r>
        <w:rPr>
          <w:rFonts w:hint="eastAsia"/>
          <w:sz w:val="24"/>
          <w:szCs w:val="24"/>
        </w:rPr>
        <w:t>（</w:t>
      </w:r>
      <w:r>
        <w:rPr>
          <w:sz w:val="24"/>
          <w:szCs w:val="24"/>
        </w:rPr>
        <w:t>4</w:t>
      </w:r>
      <w:r>
        <w:rPr>
          <w:rFonts w:hint="eastAsia"/>
          <w:sz w:val="24"/>
          <w:szCs w:val="24"/>
        </w:rPr>
        <w:t>）人的免疫系统有</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癌细胞的功能，艾滋病患者由于免疫功能缺陷，易发生恶性肿瘤。</w:t>
      </w:r>
    </w:p>
    <w:p w:rsidR="002A58E6" w:rsidP="002A58E6" w14:paraId="01EE903C" w14:textId="77777777">
      <w:pPr>
        <w:spacing w:line="360" w:lineRule="auto"/>
        <w:ind w:left="312" w:hanging="312" w:hangingChars="130"/>
      </w:pPr>
      <w:r>
        <w:rPr>
          <w:rFonts w:hint="eastAsia"/>
          <w:sz w:val="24"/>
          <w:szCs w:val="24"/>
        </w:rPr>
        <w:t>　</w:t>
      </w:r>
    </w:p>
    <w:p w:rsidR="00774634" w:rsidP="002A58E6" w14:paraId="179B7231" w14:textId="382011C2">
      <w:r>
        <w:br w:type="page"/>
      </w:r>
    </w:p>
    <w:sectPr>
      <w:footerReference w:type="default" r:id="rId4"/>
      <w:pgSz w:w="11906" w:h="16838"/>
      <w:pgMar w:top="1440" w:right="1800" w:bottom="1440" w:left="1800" w:header="851" w:footer="992" w:gutter="0"/>
      <w:cols w:space="425"/>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634"/>
    <w:rsid w:val="002A58E6"/>
    <w:rsid w:val="00774634"/>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chartTrackingRefBased/>
  <w15:docId w15:val="{31439B37-27A0-42A9-A561-8B4A71E16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A58E6"/>
    <w:pPr>
      <w:widowControl w:val="0"/>
      <w:jc w:val="both"/>
    </w:pPr>
    <w:rPr>
      <w:rFonts w:ascii="Calibri" w:eastAsia="宋体"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theme" Target="theme/theme1.xml" /><Relationship Id="rId6"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