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173C6" w14:paraId="64E01AF9" w14:textId="77777777">
      <w:pPr>
        <w:spacing w:line="360" w:lineRule="auto"/>
        <w:jc w:val="center"/>
        <w:rPr>
          <w:rFonts w:ascii="Times New Roman" w:eastAsia="华文中宋" w:hAnsi="Times New Roman"/>
          <w:b/>
          <w:kern w:val="0"/>
          <w:sz w:val="36"/>
          <w:szCs w:val="44"/>
        </w:rPr>
      </w:pPr>
      <w:r>
        <w:rPr>
          <w:rFonts w:ascii="Times New Roman" w:eastAsia="华文中宋" w:hAnsi="Times New Roman"/>
          <w:b/>
          <w:kern w:val="0"/>
          <w:sz w:val="36"/>
          <w:szCs w:val="44"/>
        </w:rPr>
        <w:t>2017</w:t>
      </w:r>
      <w:r>
        <w:rPr>
          <w:rFonts w:ascii="Times New Roman" w:eastAsia="华文中宋" w:hAnsi="Times New Roman"/>
          <w:b/>
          <w:kern w:val="0"/>
          <w:sz w:val="36"/>
          <w:szCs w:val="44"/>
        </w:rPr>
        <w:t>上海市普通高中学业水平等级性考试</w:t>
      </w:r>
    </w:p>
    <w:p w:rsidR="00E173C6" w14:paraId="04779C73" w14:textId="77777777">
      <w:pPr>
        <w:spacing w:line="360" w:lineRule="auto"/>
        <w:jc w:val="center"/>
        <w:rPr>
          <w:rFonts w:ascii="Times New Roman" w:eastAsia="华文中宋" w:hAnsi="Times New Roman"/>
          <w:b/>
          <w:kern w:val="0"/>
          <w:sz w:val="36"/>
          <w:szCs w:val="44"/>
        </w:rPr>
      </w:pPr>
      <w:r>
        <w:rPr>
          <w:rFonts w:ascii="Times New Roman" w:eastAsia="华文中宋" w:hAnsi="Times New Roman"/>
          <w:b/>
          <w:kern w:val="0"/>
          <w:sz w:val="36"/>
          <w:szCs w:val="44"/>
        </w:rPr>
        <w:t>生物试卷</w:t>
      </w:r>
    </w:p>
    <w:p w:rsidR="00E173C6" w14:paraId="7BB9A105" w14:textId="77777777">
      <w:pPr>
        <w:spacing w:line="360" w:lineRule="auto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考生注意：</w:t>
      </w:r>
    </w:p>
    <w:p w:rsidR="00E173C6" w14:paraId="1B633454" w14:textId="77777777">
      <w:pPr>
        <w:spacing w:line="360" w:lineRule="auto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1</w:t>
      </w:r>
      <w:r>
        <w:rPr>
          <w:rFonts w:ascii="Times New Roman" w:eastAsia="华文中宋" w:hAnsi="Times New Roman"/>
          <w:b/>
          <w:szCs w:val="21"/>
        </w:rPr>
        <w:t>．试卷满分</w:t>
      </w:r>
      <w:r>
        <w:rPr>
          <w:rFonts w:ascii="Times New Roman" w:eastAsia="华文中宋" w:hAnsi="Times New Roman"/>
          <w:b/>
          <w:szCs w:val="21"/>
        </w:rPr>
        <w:t>100</w:t>
      </w:r>
      <w:r>
        <w:rPr>
          <w:rFonts w:ascii="Times New Roman" w:eastAsia="华文中宋" w:hAnsi="Times New Roman"/>
          <w:b/>
          <w:szCs w:val="21"/>
        </w:rPr>
        <w:t>分，考试时间</w:t>
      </w:r>
      <w:r>
        <w:rPr>
          <w:rFonts w:ascii="Times New Roman" w:eastAsia="华文中宋" w:hAnsi="Times New Roman"/>
          <w:b/>
          <w:szCs w:val="21"/>
        </w:rPr>
        <w:t>60</w:t>
      </w:r>
      <w:r>
        <w:rPr>
          <w:rFonts w:ascii="Times New Roman" w:eastAsia="华文中宋" w:hAnsi="Times New Roman"/>
          <w:b/>
          <w:szCs w:val="21"/>
        </w:rPr>
        <w:t>分钟。</w:t>
      </w:r>
    </w:p>
    <w:p w:rsidR="00E173C6" w14:paraId="47DB4991" w14:textId="77777777">
      <w:pPr>
        <w:spacing w:line="360" w:lineRule="auto"/>
        <w:ind w:left="309" w:hanging="309" w:hangingChars="147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2</w:t>
      </w:r>
      <w:r>
        <w:rPr>
          <w:rFonts w:ascii="Times New Roman" w:eastAsia="华文中宋" w:hAnsi="Times New Roman"/>
          <w:b/>
          <w:bCs/>
          <w:szCs w:val="21"/>
        </w:rPr>
        <w:t>．本考试分设试卷和答题纸。试卷包括两部分，第一部分全部为选择题，第二部分为综合分析题，包括填空题、选择题和简答题等题型。</w:t>
      </w:r>
    </w:p>
    <w:p w:rsidR="00E173C6" w14:paraId="42A20B5B" w14:textId="77777777">
      <w:pPr>
        <w:spacing w:line="360" w:lineRule="auto"/>
        <w:rPr>
          <w:rFonts w:ascii="Times New Roman" w:eastAsia="华文中宋" w:hAnsi="Times New Roman"/>
          <w:b/>
          <w:bCs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4983480</wp:posOffset>
            </wp:positionH>
            <wp:positionV relativeFrom="paragraph">
              <wp:posOffset>167640</wp:posOffset>
            </wp:positionV>
            <wp:extent cx="1097280" cy="967105"/>
            <wp:effectExtent l="0" t="0" r="7620" b="4445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b/>
          <w:bCs/>
          <w:szCs w:val="21"/>
        </w:rPr>
        <w:t>3</w:t>
      </w:r>
      <w:r>
        <w:rPr>
          <w:rFonts w:ascii="Times New Roman" w:eastAsia="华文中宋" w:hAnsi="Times New Roman"/>
          <w:b/>
          <w:bCs/>
          <w:szCs w:val="21"/>
        </w:rPr>
        <w:t>．考生应用</w:t>
      </w:r>
      <w:r>
        <w:rPr>
          <w:rFonts w:ascii="Times New Roman" w:eastAsia="华文中宋" w:hAnsi="Times New Roman"/>
          <w:b/>
          <w:bCs/>
          <w:szCs w:val="21"/>
        </w:rPr>
        <w:t>2B</w:t>
      </w:r>
      <w:r>
        <w:rPr>
          <w:rFonts w:ascii="Times New Roman" w:eastAsia="华文中宋" w:hAnsi="Times New Roman"/>
          <w:b/>
          <w:bCs/>
          <w:szCs w:val="21"/>
        </w:rPr>
        <w:t>铅笔、钢笔或圆珠笔将答案直接写在答题纸上</w:t>
      </w:r>
    </w:p>
    <w:p w:rsidR="00E173C6" w14:paraId="5D9A6711" w14:textId="77777777">
      <w:pPr>
        <w:spacing w:line="360" w:lineRule="auto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一、选择题（共</w:t>
      </w:r>
      <w:r>
        <w:rPr>
          <w:rFonts w:ascii="Times New Roman" w:eastAsia="华文中宋" w:hAnsi="Times New Roman"/>
          <w:b/>
          <w:bCs/>
          <w:szCs w:val="21"/>
        </w:rPr>
        <w:t>40</w:t>
      </w:r>
      <w:r>
        <w:rPr>
          <w:rFonts w:ascii="Times New Roman" w:eastAsia="华文中宋" w:hAnsi="Times New Roman"/>
          <w:b/>
          <w:bCs/>
          <w:szCs w:val="21"/>
        </w:rPr>
        <w:t>分，每小题</w:t>
      </w:r>
      <w:r>
        <w:rPr>
          <w:rFonts w:ascii="Times New Roman" w:eastAsia="华文中宋" w:hAnsi="Times New Roman"/>
          <w:b/>
          <w:bCs/>
          <w:szCs w:val="21"/>
        </w:rPr>
        <w:t>2</w:t>
      </w:r>
      <w:r>
        <w:rPr>
          <w:rFonts w:ascii="Times New Roman" w:eastAsia="华文中宋" w:hAnsi="Times New Roman"/>
          <w:b/>
          <w:bCs/>
          <w:szCs w:val="21"/>
        </w:rPr>
        <w:t>分，每小题只有一个正确答案）</w:t>
      </w:r>
    </w:p>
    <w:p w:rsidR="00E173C6" w14:paraId="0770DC2F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、图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所示生物不具有细胞结构，该生物属于</w:t>
      </w:r>
    </w:p>
    <w:p w:rsidR="00E173C6" w14:paraId="0FBBA4DC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kern w:val="0"/>
          <w:szCs w:val="21"/>
        </w:rPr>
        <w:t xml:space="preserve">A. </w:t>
      </w:r>
      <w:r>
        <w:rPr>
          <w:rFonts w:ascii="Times New Roman" w:eastAsia="华文中宋" w:hAnsi="Times New Roman"/>
          <w:kern w:val="0"/>
          <w:szCs w:val="21"/>
        </w:rPr>
        <w:t>动物</w:t>
      </w:r>
      <w:r>
        <w:rPr>
          <w:rFonts w:ascii="Times New Roman" w:eastAsia="华文中宋" w:hAnsi="Times New Roman"/>
          <w:kern w:val="0"/>
          <w:szCs w:val="21"/>
        </w:rPr>
        <w:tab/>
        <w:t>B. RNA</w:t>
      </w:r>
      <w:r>
        <w:rPr>
          <w:rFonts w:ascii="Times New Roman" w:eastAsia="华文中宋" w:hAnsi="Times New Roman"/>
          <w:kern w:val="0"/>
          <w:szCs w:val="21"/>
        </w:rPr>
        <w:t>病毒</w:t>
      </w:r>
      <w:r>
        <w:rPr>
          <w:rFonts w:ascii="Times New Roman" w:eastAsia="华文中宋" w:hAnsi="Times New Roman"/>
          <w:kern w:val="0"/>
          <w:szCs w:val="21"/>
        </w:rPr>
        <w:tab/>
        <w:t xml:space="preserve">C. </w:t>
      </w:r>
      <w:r>
        <w:rPr>
          <w:rFonts w:ascii="Times New Roman" w:eastAsia="华文中宋" w:hAnsi="Times New Roman"/>
          <w:kern w:val="0"/>
          <w:szCs w:val="21"/>
        </w:rPr>
        <w:t>植物</w:t>
      </w:r>
      <w:r>
        <w:rPr>
          <w:rFonts w:ascii="Times New Roman" w:eastAsia="华文中宋" w:hAnsi="Times New Roman"/>
          <w:kern w:val="0"/>
          <w:szCs w:val="21"/>
        </w:rPr>
        <w:tab/>
        <w:t>D. DNA</w:t>
      </w:r>
      <w:r>
        <w:rPr>
          <w:rFonts w:ascii="Times New Roman" w:eastAsia="华文中宋" w:hAnsi="Times New Roman"/>
          <w:kern w:val="0"/>
          <w:szCs w:val="21"/>
        </w:rPr>
        <w:t>病毒</w:t>
      </w:r>
    </w:p>
    <w:p w:rsidR="00E173C6" w14:paraId="2CB03EBA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、食物中的蛋白质需要消化为氨基酸才能被吸收，该消化过程中断开的化学键是</w:t>
      </w:r>
    </w:p>
    <w:p w:rsidR="00E173C6" w14:paraId="00631EE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2545080" cy="9829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75A4E8F1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宋体" w:hAnsi="宋体" w:cs="宋体" w:hint="eastAsia"/>
          <w:szCs w:val="21"/>
        </w:rPr>
        <w:t>④</w:t>
      </w:r>
    </w:p>
    <w:p w:rsidR="00E173C6" w14:paraId="528956C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、在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观察蚕豆叶下表皮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实验中，低倍镜视野下观测到保卫细胞位于视野右下角，欲在高倍镜视野下进一步清晰观察该细胞，下列操作中</w:t>
      </w:r>
      <w:r>
        <w:rPr>
          <w:rFonts w:ascii="Times New Roman" w:eastAsia="华文中宋" w:hAnsi="Times New Roman"/>
          <w:szCs w:val="21"/>
          <w:em w:val="dot"/>
        </w:rPr>
        <w:t>错误</w:t>
      </w:r>
      <w:r>
        <w:rPr>
          <w:rFonts w:ascii="Times New Roman" w:eastAsia="华文中宋" w:hAnsi="Times New Roman"/>
          <w:szCs w:val="21"/>
        </w:rPr>
        <w:t>的是</w:t>
      </w:r>
    </w:p>
    <w:p w:rsidR="00E173C6" w14:paraId="79D2971C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移动载玻片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换为低倍镜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换为高倍镜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调节细调节器</w:t>
      </w:r>
    </w:p>
    <w:tbl>
      <w:tblPr>
        <w:tblStyle w:val="TableGrid"/>
        <w:tblpPr w:leftFromText="180" w:rightFromText="180" w:vertAnchor="text" w:horzAnchor="page" w:tblpX="7141" w:tblpY="758"/>
        <w:tblOverlap w:val="never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/>
      </w:tblPr>
      <w:tblGrid>
        <w:gridCol w:w="1371"/>
        <w:gridCol w:w="1371"/>
        <w:gridCol w:w="1056"/>
      </w:tblGrid>
      <w:tr w14:paraId="2361D164" w14:textId="77777777">
        <w:tblPrEx>
          <w:tblW w:w="0" w:type="auto"/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</w:tblBorders>
          <w:tblLook w:val="04A0"/>
        </w:tblPrEx>
        <w:tc>
          <w:tcPr>
            <w:tcW w:w="0" w:type="auto"/>
            <w:vAlign w:val="center"/>
          </w:tcPr>
          <w:p w:rsidR="00E173C6" w14:paraId="1EFBFB52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ind w:firstLine="315" w:firstLineChars="150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鉴定标本</w:t>
            </w:r>
          </w:p>
        </w:tc>
        <w:tc>
          <w:tcPr>
            <w:tcW w:w="0" w:type="auto"/>
            <w:vAlign w:val="center"/>
          </w:tcPr>
          <w:p w:rsidR="00E173C6" w14:paraId="43E52CDD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鉴定用试剂</w:t>
            </w:r>
          </w:p>
        </w:tc>
        <w:tc>
          <w:tcPr>
            <w:tcW w:w="0" w:type="auto"/>
            <w:vAlign w:val="center"/>
          </w:tcPr>
          <w:p w:rsidR="00E173C6" w14:paraId="49F6FD57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现象</w:t>
            </w:r>
          </w:p>
        </w:tc>
      </w:tr>
      <w:tr w14:paraId="09287C00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7AAABA8C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:rsidR="00E173C6" w14:paraId="02C3892B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双缩脲试剂</w:t>
            </w:r>
          </w:p>
        </w:tc>
        <w:tc>
          <w:tcPr>
            <w:tcW w:w="0" w:type="auto"/>
            <w:vAlign w:val="center"/>
          </w:tcPr>
          <w:p w:rsidR="00E173C6" w14:paraId="2271F749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紫色</w:t>
            </w:r>
          </w:p>
        </w:tc>
      </w:tr>
      <w:tr w14:paraId="198F17CE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7129B342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:rsidR="00E173C6" w14:paraId="67CEF212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苏丹</w:t>
            </w:r>
            <w:r>
              <w:rPr>
                <w:rFonts w:ascii="Times New Roman" w:eastAsia="华文中宋" w:hAnsi="Times New Roman"/>
                <w:szCs w:val="21"/>
              </w:rPr>
              <w:t>III</w:t>
            </w:r>
            <w:r>
              <w:rPr>
                <w:rFonts w:ascii="Times New Roman" w:eastAsia="华文中宋" w:hAnsi="Times New Roman"/>
                <w:szCs w:val="21"/>
              </w:rPr>
              <w:t>染液</w:t>
            </w:r>
          </w:p>
        </w:tc>
        <w:tc>
          <w:tcPr>
            <w:tcW w:w="0" w:type="auto"/>
            <w:vAlign w:val="center"/>
          </w:tcPr>
          <w:p w:rsidR="00E173C6" w14:paraId="09298990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橘红色</w:t>
            </w:r>
          </w:p>
        </w:tc>
      </w:tr>
      <w:tr w14:paraId="48DEB0DB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2191000C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:rsidR="00E173C6" w14:paraId="52BB8767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班氏试剂</w:t>
            </w:r>
          </w:p>
        </w:tc>
        <w:tc>
          <w:tcPr>
            <w:tcW w:w="0" w:type="auto"/>
            <w:vAlign w:val="center"/>
          </w:tcPr>
          <w:p w:rsidR="00E173C6" w14:paraId="7F465959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颜色不变</w:t>
            </w:r>
          </w:p>
        </w:tc>
      </w:tr>
    </w:tbl>
    <w:p w:rsidR="00E173C6" w14:paraId="22338F69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4526280</wp:posOffset>
                </wp:positionH>
                <wp:positionV relativeFrom="paragraph">
                  <wp:posOffset>167640</wp:posOffset>
                </wp:positionV>
                <wp:extent cx="502920" cy="31242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029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173C6" w14:textId="77777777">
                            <w:pPr>
                              <w:tabs>
                                <w:tab w:val="left" w:pos="2439"/>
                                <w:tab w:val="left" w:pos="4335"/>
                                <w:tab w:val="left" w:pos="6339"/>
                              </w:tabs>
                              <w:spacing w:line="360" w:lineRule="auto"/>
                              <w:jc w:val="left"/>
                              <w:textAlignment w:val="center"/>
                              <w:rPr>
                                <w:rFonts w:ascii="Times New Roman" w:eastAsia="华文中宋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华文中宋" w:hAnsi="Times New Roman"/>
                                <w:szCs w:val="21"/>
                              </w:rPr>
                              <w:t>表</w:t>
                            </w:r>
                            <w:r>
                              <w:rPr>
                                <w:rFonts w:ascii="Times New Roman" w:eastAsia="华文中宋" w:hAnsi="Times New Roman"/>
                                <w:szCs w:val="2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7" o:spid="_x0000_s1025" type="#_x0000_t202" style="width:39.6pt;height:24.6pt;margin-top:13.2pt;margin-left:356.4pt;mso-position-horizontal-relative:margin;mso-wrap-distance-bottom:0;mso-wrap-distance-left:9pt;mso-wrap-distance-right:9pt;mso-wrap-distance-top:0;position:absolute;v-text-anchor:top;z-index:251663360" filled="f" fillcolor="this" stroked="f" strokeweight="0.5pt">
                <v:textbox>
                  <w:txbxContent>
                    <w:p w:rsidR="00E173C6" w14:paraId="6899E790" w14:textId="77777777">
                      <w:pPr>
                        <w:tabs>
                          <w:tab w:val="left" w:pos="2439"/>
                          <w:tab w:val="left" w:pos="4335"/>
                          <w:tab w:val="left" w:pos="6339"/>
                        </w:tabs>
                        <w:spacing w:line="360" w:lineRule="auto"/>
                        <w:jc w:val="left"/>
                        <w:textAlignment w:val="center"/>
                        <w:rPr>
                          <w:rFonts w:ascii="Times New Roman" w:eastAsia="华文中宋" w:hAnsi="Times New Roman"/>
                          <w:szCs w:val="21"/>
                        </w:rPr>
                      </w:pPr>
                      <w:r>
                        <w:rPr>
                          <w:rFonts w:ascii="Times New Roman" w:eastAsia="华文中宋" w:hAnsi="Times New Roman"/>
                          <w:szCs w:val="21"/>
                        </w:rPr>
                        <w:t>表</w:t>
                      </w:r>
                      <w:r>
                        <w:rPr>
                          <w:rFonts w:ascii="Times New Roman" w:eastAsia="华文中宋" w:hAnsi="Times New Roman"/>
                          <w:szCs w:val="21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、为了解某食品样液中的营养成分，对其做出三种规范的鉴定操作，得到相应现象如表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。由此判断该食品样液中至少含有</w:t>
      </w:r>
    </w:p>
    <w:p w:rsidR="00E173C6" w14:paraId="2F117E6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还原性糖和脂肪</w:t>
      </w:r>
    </w:p>
    <w:p w:rsidR="00E173C6" w14:paraId="4D2BAF74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蛋白质和还原性糖</w:t>
      </w:r>
    </w:p>
    <w:p w:rsidR="00E173C6" w14:paraId="1FF6D427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还原性糖、蛋白质、脂肪</w:t>
      </w:r>
    </w:p>
    <w:p w:rsidR="00E173C6" w14:paraId="5B359BEE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蛋白质和脂肪</w:t>
      </w:r>
    </w:p>
    <w:p w:rsidR="00E173C6" w14:paraId="32ABE968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探究细胞外界溶液浓度与质壁分离程度的关系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实验中，采用原生质层长度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B)</w:t>
      </w:r>
      <w:r>
        <w:rPr>
          <w:rFonts w:ascii="Times New Roman" w:eastAsia="华文中宋" w:hAnsi="Times New Roman"/>
          <w:szCs w:val="21"/>
        </w:rPr>
        <w:t>与细胞长度</w:t>
      </w:r>
      <w:r>
        <w:rPr>
          <w:rFonts w:ascii="Times New Roman" w:eastAsia="华文中宋" w:hAnsi="Times New Roman"/>
          <w:szCs w:val="21"/>
        </w:rPr>
        <w:t>(A)</w:t>
      </w:r>
      <w:r>
        <w:rPr>
          <w:rFonts w:ascii="Times New Roman" w:eastAsia="华文中宋" w:hAnsi="Times New Roman"/>
          <w:szCs w:val="21"/>
        </w:rPr>
        <w:t>的比值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B/A)</w:t>
      </w:r>
      <w:r>
        <w:rPr>
          <w:rFonts w:ascii="Times New Roman" w:eastAsia="华文中宋" w:hAnsi="Times New Roman"/>
          <w:szCs w:val="21"/>
        </w:rPr>
        <w:t>表示质壁分离程度，表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是某同学对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个洋葱表皮细胞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B</w:t>
      </w:r>
      <w:r>
        <w:rPr>
          <w:rFonts w:ascii="Times New Roman" w:eastAsia="华文中宋" w:hAnsi="Times New Roman"/>
          <w:szCs w:val="21"/>
        </w:rPr>
        <w:t>值测量后的处理结果，其中错误的是</w:t>
      </w:r>
    </w:p>
    <w:p w:rsidR="00E173C6" w14:paraId="0825FC7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095" w:firstLineChars="1950"/>
        <w:jc w:val="left"/>
        <w:textAlignment w:val="center"/>
        <w:rPr>
          <w:rFonts w:ascii="Times New Roman" w:eastAsia="华文中宋" w:hAnsi="Times New Roman"/>
          <w:szCs w:val="21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636"/>
        <w:gridCol w:w="759"/>
        <w:gridCol w:w="829"/>
        <w:gridCol w:w="899"/>
        <w:gridCol w:w="911"/>
      </w:tblGrid>
      <w:tr w14:paraId="02CD8A0B" w14:textId="77777777">
        <w:tblPrEx>
          <w:tblW w:w="0" w:type="auto"/>
          <w:jc w:val="center"/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E173C6" w14:paraId="34545314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</w:t>
            </w:r>
          </w:p>
        </w:tc>
        <w:tc>
          <w:tcPr>
            <w:tcW w:w="0" w:type="auto"/>
            <w:vAlign w:val="center"/>
          </w:tcPr>
          <w:p w:rsidR="00E173C6" w14:paraId="2203EFEC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</w:t>
            </w:r>
            <w:r>
              <w:rPr>
                <w:rFonts w:ascii="Times New Roman" w:eastAsia="华文中宋" w:hAnsi="Times New Roman"/>
                <w:szCs w:val="21"/>
              </w:rPr>
              <w:t>I</w:t>
            </w:r>
          </w:p>
        </w:tc>
        <w:tc>
          <w:tcPr>
            <w:tcW w:w="0" w:type="auto"/>
            <w:vAlign w:val="center"/>
          </w:tcPr>
          <w:p w:rsidR="00E173C6" w14:paraId="0C17F96B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</w:t>
            </w:r>
            <w:r>
              <w:rPr>
                <w:rFonts w:ascii="Times New Roman" w:eastAsia="华文中宋" w:hAnsi="Times New Roman"/>
                <w:szCs w:val="21"/>
              </w:rPr>
              <w:t>II</w:t>
            </w:r>
          </w:p>
        </w:tc>
        <w:tc>
          <w:tcPr>
            <w:tcW w:w="0" w:type="auto"/>
            <w:vAlign w:val="center"/>
          </w:tcPr>
          <w:p w:rsidR="00E173C6" w14:paraId="0EC838B1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</w:t>
            </w:r>
            <w:r>
              <w:rPr>
                <w:rFonts w:ascii="Times New Roman" w:eastAsia="华文中宋" w:hAnsi="Times New Roman"/>
                <w:szCs w:val="21"/>
              </w:rPr>
              <w:t>III</w:t>
            </w:r>
          </w:p>
        </w:tc>
        <w:tc>
          <w:tcPr>
            <w:tcW w:w="0" w:type="auto"/>
            <w:vAlign w:val="center"/>
          </w:tcPr>
          <w:p w:rsidR="00E173C6" w14:paraId="3233A855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</w:t>
            </w:r>
            <w:r>
              <w:rPr>
                <w:rFonts w:ascii="Times New Roman" w:eastAsia="华文中宋" w:hAnsi="Times New Roman"/>
                <w:szCs w:val="21"/>
              </w:rPr>
              <w:t>IV</w:t>
            </w:r>
          </w:p>
        </w:tc>
      </w:tr>
      <w:tr w14:paraId="48E355AB" w14:textId="77777777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vAlign w:val="center"/>
          </w:tcPr>
          <w:p w:rsidR="00E173C6" w14:paraId="22356E36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B/A</w:t>
            </w:r>
          </w:p>
        </w:tc>
        <w:tc>
          <w:tcPr>
            <w:tcW w:w="0" w:type="auto"/>
            <w:vAlign w:val="center"/>
          </w:tcPr>
          <w:p w:rsidR="00E173C6" w14:paraId="76D1D985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1.2</w:t>
            </w:r>
          </w:p>
        </w:tc>
        <w:tc>
          <w:tcPr>
            <w:tcW w:w="0" w:type="auto"/>
            <w:vAlign w:val="center"/>
          </w:tcPr>
          <w:p w:rsidR="00E173C6" w14:paraId="6B92B43B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0.9</w:t>
            </w:r>
          </w:p>
        </w:tc>
        <w:tc>
          <w:tcPr>
            <w:tcW w:w="0" w:type="auto"/>
            <w:vAlign w:val="center"/>
          </w:tcPr>
          <w:p w:rsidR="00E173C6" w14:paraId="76193171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0.8</w:t>
            </w:r>
          </w:p>
        </w:tc>
        <w:tc>
          <w:tcPr>
            <w:tcW w:w="0" w:type="auto"/>
            <w:vAlign w:val="center"/>
          </w:tcPr>
          <w:p w:rsidR="00E173C6" w14:paraId="3F8ABF8D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0.7</w:t>
            </w:r>
          </w:p>
        </w:tc>
      </w:tr>
    </w:tbl>
    <w:p w:rsidR="00E173C6" w14:paraId="545A6BF8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-955040</wp:posOffset>
                </wp:positionV>
                <wp:extent cx="502920" cy="3124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029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173C6" w14:textId="77777777">
                            <w:pPr>
                              <w:tabs>
                                <w:tab w:val="left" w:pos="2439"/>
                                <w:tab w:val="left" w:pos="4335"/>
                                <w:tab w:val="left" w:pos="6339"/>
                              </w:tabs>
                              <w:spacing w:line="360" w:lineRule="auto"/>
                              <w:jc w:val="left"/>
                              <w:textAlignment w:val="center"/>
                              <w:rPr>
                                <w:rFonts w:ascii="Times New Roman" w:eastAsia="华文中宋" w:hAnsi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华文中宋" w:hAnsi="Times New Roman"/>
                                <w:szCs w:val="21"/>
                              </w:rPr>
                              <w:t>表</w:t>
                            </w:r>
                            <w:r>
                              <w:rPr>
                                <w:rFonts w:ascii="Times New Roman" w:eastAsia="华文中宋" w:hAnsi="Times New Roman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type="#_x0000_t202" style="width:39.6pt;height:24.6pt;margin-top:-75.2pt;margin-left:0;mso-position-horizontal:center;mso-position-horizontal-relative:margin;mso-wrap-distance-bottom:0;mso-wrap-distance-left:9pt;mso-wrap-distance-right:9pt;mso-wrap-distance-top:0;position:absolute;v-text-anchor:top;z-index:251665408" filled="f" fillcolor="this" stroked="f" strokeweight="0.5pt">
                <v:textbox>
                  <w:txbxContent>
                    <w:p w:rsidR="00E173C6" w14:paraId="2F85D998" w14:textId="77777777">
                      <w:pPr>
                        <w:tabs>
                          <w:tab w:val="left" w:pos="2439"/>
                          <w:tab w:val="left" w:pos="4335"/>
                          <w:tab w:val="left" w:pos="6339"/>
                        </w:tabs>
                        <w:spacing w:line="360" w:lineRule="auto"/>
                        <w:jc w:val="left"/>
                        <w:textAlignment w:val="center"/>
                        <w:rPr>
                          <w:rFonts w:ascii="Times New Roman" w:eastAsia="华文中宋" w:hAnsi="Times New Roman"/>
                          <w:szCs w:val="21"/>
                        </w:rPr>
                      </w:pPr>
                      <w:r>
                        <w:rPr>
                          <w:rFonts w:ascii="Times New Roman" w:eastAsia="华文中宋" w:hAnsi="Times New Roman"/>
                          <w:szCs w:val="21"/>
                        </w:rPr>
                        <w:t>表</w:t>
                      </w:r>
                      <w:r>
                        <w:rPr>
                          <w:rFonts w:ascii="Times New Roman" w:eastAsia="华文中宋" w:hAnsi="Times New Roman"/>
                          <w:szCs w:val="2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细胞</w:t>
      </w:r>
      <w:r>
        <w:rPr>
          <w:rFonts w:ascii="Times New Roman" w:eastAsia="华文中宋" w:hAnsi="Times New Roman"/>
          <w:szCs w:val="21"/>
        </w:rPr>
        <w:t>I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细胞</w:t>
      </w:r>
      <w:r>
        <w:rPr>
          <w:rFonts w:ascii="Times New Roman" w:eastAsia="华文中宋" w:hAnsi="Times New Roman"/>
          <w:szCs w:val="21"/>
        </w:rPr>
        <w:t>II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细胞</w:t>
      </w:r>
      <w:r>
        <w:rPr>
          <w:rFonts w:ascii="Times New Roman" w:eastAsia="华文中宋" w:hAnsi="Times New Roman"/>
          <w:szCs w:val="21"/>
        </w:rPr>
        <w:t>III</w:t>
      </w:r>
      <w:r>
        <w:rPr>
          <w:rFonts w:ascii="Times New Roman" w:eastAsia="华文中宋" w:hAnsi="Times New Roman"/>
          <w:szCs w:val="21"/>
        </w:rPr>
        <w:tab/>
        <w:t xml:space="preserve">D. </w:t>
      </w:r>
      <w:r>
        <w:rPr>
          <w:rFonts w:ascii="Times New Roman" w:eastAsia="华文中宋" w:hAnsi="Times New Roman"/>
          <w:szCs w:val="21"/>
        </w:rPr>
        <w:t>细胞</w:t>
      </w:r>
      <w:r>
        <w:rPr>
          <w:rFonts w:ascii="Times New Roman" w:eastAsia="华文中宋" w:hAnsi="Times New Roman"/>
          <w:szCs w:val="21"/>
        </w:rPr>
        <w:t>IV</w:t>
      </w:r>
    </w:p>
    <w:p w:rsidR="00E173C6" w14:paraId="2BECE3AF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6</w:t>
      </w:r>
      <w:r>
        <w:rPr>
          <w:rFonts w:ascii="Times New Roman" w:eastAsia="华文中宋" w:hAnsi="Times New Roman"/>
          <w:szCs w:val="21"/>
        </w:rPr>
        <w:t>、视网膜色素变性患者，某基因得测序结果显示，与正常人相比，患者模板链的互补碱基序列发生了改变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图</w:t>
      </w:r>
      <w:r>
        <w:rPr>
          <w:rFonts w:ascii="Times New Roman" w:eastAsia="华文中宋" w:hAnsi="Times New Roman"/>
          <w:szCs w:val="21"/>
        </w:rPr>
        <w:t>3)</w:t>
      </w:r>
      <w:r>
        <w:rPr>
          <w:rFonts w:ascii="Times New Roman" w:eastAsia="华文中宋" w:hAnsi="Times New Roman"/>
          <w:szCs w:val="21"/>
        </w:rPr>
        <w:t>，据此可推断患者模板链上发生得碱基改变是</w:t>
      </w:r>
    </w:p>
    <w:p w:rsidR="00E173C6" w14:paraId="39E77B34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3870960" cy="609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006E5070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 G</w:t>
      </w:r>
      <w:r>
        <w:rPr>
          <w:rFonts w:ascii="Times New Roman" w:eastAsia="华文中宋" w:hAnsi="Times New Roman" w:hint="eastAsia"/>
          <w:szCs w:val="21"/>
        </w:rPr>
        <w:t>→</w:t>
      </w:r>
      <w:r>
        <w:rPr>
          <w:rFonts w:ascii="Times New Roman" w:eastAsia="华文中宋" w:hAnsi="Times New Roman"/>
          <w:szCs w:val="21"/>
        </w:rPr>
        <w:t>C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B. U</w:t>
      </w:r>
      <w:r>
        <w:rPr>
          <w:rFonts w:ascii="Times New Roman" w:eastAsia="华文中宋" w:hAnsi="Times New Roman" w:hint="eastAsia"/>
          <w:szCs w:val="21"/>
        </w:rPr>
        <w:t>→</w:t>
      </w:r>
      <w:r>
        <w:rPr>
          <w:rFonts w:ascii="Times New Roman" w:eastAsia="华文中宋" w:hAnsi="Times New Roman"/>
          <w:szCs w:val="21"/>
        </w:rPr>
        <w:t>T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C. G</w:t>
      </w:r>
      <w:r>
        <w:rPr>
          <w:rFonts w:ascii="Times New Roman" w:eastAsia="华文中宋" w:hAnsi="Times New Roman" w:hint="eastAsia"/>
          <w:szCs w:val="21"/>
        </w:rPr>
        <w:t>→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 C</w:t>
      </w:r>
      <w:r>
        <w:rPr>
          <w:rFonts w:ascii="Times New Roman" w:eastAsia="华文中宋" w:hAnsi="Times New Roman" w:hint="eastAsia"/>
          <w:szCs w:val="21"/>
        </w:rPr>
        <w:t>→</w:t>
      </w:r>
      <w:r>
        <w:rPr>
          <w:rFonts w:ascii="Times New Roman" w:eastAsia="华文中宋" w:hAnsi="Times New Roman"/>
          <w:szCs w:val="21"/>
        </w:rPr>
        <w:t>T</w:t>
      </w:r>
    </w:p>
    <w:p w:rsidR="00E173C6" w14:paraId="2310844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7</w:t>
      </w:r>
      <w:r>
        <w:rPr>
          <w:rFonts w:ascii="Times New Roman" w:eastAsia="华文中宋" w:hAnsi="Times New Roman"/>
          <w:szCs w:val="21"/>
        </w:rPr>
        <w:t>、病原微生物的表面抗原是疫苗制备的主要来源，下列构成病原微生物的组分中，最适用来制备疫苗的是</w:t>
      </w:r>
    </w:p>
    <w:p w:rsidR="00E173C6" w14:paraId="4BB02682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病毒衣壳蛋白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病毒</w:t>
      </w:r>
      <w:r>
        <w:rPr>
          <w:rFonts w:ascii="Times New Roman" w:eastAsia="华文中宋" w:hAnsi="Times New Roman"/>
          <w:szCs w:val="21"/>
        </w:rPr>
        <w:t>ATP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病毒逆转录酶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病毒</w:t>
      </w:r>
      <w:r>
        <w:rPr>
          <w:rFonts w:ascii="Times New Roman" w:eastAsia="华文中宋" w:hAnsi="Times New Roman"/>
          <w:szCs w:val="21"/>
        </w:rPr>
        <w:t>mRNA</w:t>
      </w:r>
    </w:p>
    <w:p w:rsidR="00E173C6" w14:paraId="3FC238D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8</w:t>
      </w:r>
      <w:r>
        <w:rPr>
          <w:rFonts w:ascii="Times New Roman" w:eastAsia="华文中宋" w:hAnsi="Times New Roman"/>
          <w:szCs w:val="21"/>
        </w:rPr>
        <w:t>、皮肤和黏膜能阻挡多种病菌和病毒入侵机体，因此这两者属于机体的</w:t>
      </w:r>
    </w:p>
    <w:p w:rsidR="00E173C6" w14:paraId="190B1F3E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特异性免疫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先天性免疫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szCs w:val="21"/>
        </w:rPr>
        <w:t>非特异性免疫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宋体" w:hAnsi="宋体" w:cs="宋体" w:hint="eastAsia"/>
          <w:szCs w:val="21"/>
        </w:rPr>
        <w:t>④</w:t>
      </w:r>
      <w:r>
        <w:rPr>
          <w:rFonts w:ascii="Times New Roman" w:eastAsia="华文中宋" w:hAnsi="Times New Roman"/>
          <w:szCs w:val="21"/>
        </w:rPr>
        <w:t>获得性免疫</w:t>
      </w:r>
    </w:p>
    <w:p w:rsidR="00E173C6" w14:paraId="5ABA5B86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宋体" w:hAnsi="宋体" w:cs="宋体" w:hint="eastAsia"/>
          <w:szCs w:val="21"/>
        </w:rPr>
        <w:t>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宋体" w:hAnsi="宋体" w:cs="宋体" w:hint="eastAsia"/>
          <w:szCs w:val="21"/>
        </w:rPr>
        <w:t>④</w:t>
      </w:r>
    </w:p>
    <w:p w:rsidR="00E173C6" w14:paraId="3A5600E4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9</w:t>
      </w:r>
      <w:r>
        <w:rPr>
          <w:rFonts w:ascii="Times New Roman" w:eastAsia="华文中宋" w:hAnsi="Times New Roman"/>
          <w:szCs w:val="21"/>
        </w:rPr>
        <w:t>、用</w:t>
      </w:r>
      <w:r>
        <w:rPr>
          <w:rFonts w:ascii="Times New Roman" w:eastAsia="华文中宋" w:hAnsi="Times New Roman"/>
          <w:szCs w:val="21"/>
        </w:rPr>
        <w:t>“x”</w:t>
      </w:r>
      <w:r>
        <w:rPr>
          <w:rFonts w:ascii="Times New Roman" w:eastAsia="华文中宋" w:hAnsi="Times New Roman"/>
          <w:szCs w:val="21"/>
        </w:rPr>
        <w:t>表示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没有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，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Symbol" w:eastAsia="华文中宋" w:hAnsi="Symbol"/>
          <w:szCs w:val="21"/>
        </w:rPr>
        <w:sym w:font="Symbol" w:char="F0D6"/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表示</w:t>
      </w:r>
      <w:r>
        <w:rPr>
          <w:rFonts w:ascii="Times New Roman" w:eastAsia="华文中宋" w:hAnsi="Times New Roman"/>
          <w:szCs w:val="21"/>
        </w:rPr>
        <w:t>“</w:t>
      </w:r>
      <w:r>
        <w:rPr>
          <w:rFonts w:ascii="Times New Roman" w:eastAsia="华文中宋" w:hAnsi="Times New Roman"/>
          <w:szCs w:val="21"/>
        </w:rPr>
        <w:t>有</w:t>
      </w:r>
      <w:r>
        <w:rPr>
          <w:rFonts w:ascii="Times New Roman" w:eastAsia="华文中宋" w:hAnsi="Times New Roman"/>
          <w:szCs w:val="21"/>
        </w:rPr>
        <w:t>”</w:t>
      </w:r>
      <w:r>
        <w:rPr>
          <w:rFonts w:ascii="Times New Roman" w:eastAsia="华文中宋" w:hAnsi="Times New Roman"/>
          <w:szCs w:val="21"/>
        </w:rPr>
        <w:t>，下列对原核细胞和真核细胞</w:t>
      </w:r>
      <w:r>
        <w:rPr>
          <w:rFonts w:ascii="Times New Roman" w:eastAsia="华文中宋" w:hAnsi="Times New Roman" w:hint="eastAsia"/>
          <w:szCs w:val="21"/>
        </w:rPr>
        <w:t>的</w:t>
      </w:r>
      <w:r>
        <w:rPr>
          <w:rFonts w:ascii="Times New Roman" w:eastAsia="华文中宋" w:hAnsi="Times New Roman"/>
          <w:szCs w:val="21"/>
        </w:rPr>
        <w:t>描述，正确的是</w:t>
      </w:r>
    </w:p>
    <w:p w:rsidR="00E173C6" w14:paraId="106D032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A.</w:t>
      </w:r>
      <w:r>
        <w:rPr>
          <w:rFonts w:ascii="Times New Roman" w:eastAsia="华文中宋" w:hAnsi="Times New Roman"/>
          <w:kern w:val="0"/>
          <w:szCs w:val="21"/>
        </w:rPr>
        <w:t xml:space="preserve"> 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846"/>
        <w:gridCol w:w="1056"/>
        <w:gridCol w:w="1056"/>
      </w:tblGrid>
      <w:tr w14:paraId="548517EC" w14:textId="77777777">
        <w:tblPrEx>
          <w:tblW w:w="0" w:type="auto"/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Look w:val="04A0"/>
        </w:tblPrEx>
        <w:tc>
          <w:tcPr>
            <w:tcW w:w="0" w:type="auto"/>
            <w:vAlign w:val="center"/>
          </w:tcPr>
          <w:p w:rsidR="00E173C6" w14:paraId="411F6861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E173C6" w14:paraId="6CF43052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原核细胞</w:t>
            </w:r>
          </w:p>
        </w:tc>
        <w:tc>
          <w:tcPr>
            <w:tcW w:w="0" w:type="auto"/>
            <w:vAlign w:val="center"/>
          </w:tcPr>
          <w:p w:rsidR="00E173C6" w14:paraId="6EEEA6E2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真核细胞</w:t>
            </w:r>
          </w:p>
        </w:tc>
      </w:tr>
      <w:tr w14:paraId="2F08584A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10F3A143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细胞核</w:t>
            </w:r>
          </w:p>
        </w:tc>
        <w:tc>
          <w:tcPr>
            <w:tcW w:w="0" w:type="auto"/>
            <w:vAlign w:val="center"/>
          </w:tcPr>
          <w:p w:rsidR="00E173C6" w14:paraId="6D7E49B9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:rsidR="00E173C6" w14:paraId="20DF3BDD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  <w:tr w14:paraId="3B4AACA2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6E2FE1E7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DNA</w:t>
            </w:r>
          </w:p>
        </w:tc>
        <w:tc>
          <w:tcPr>
            <w:tcW w:w="0" w:type="auto"/>
            <w:vAlign w:val="center"/>
          </w:tcPr>
          <w:p w:rsidR="00E173C6" w14:paraId="3DFA3EA6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0" w:type="auto"/>
            <w:vAlign w:val="center"/>
          </w:tcPr>
          <w:p w:rsidR="00E173C6" w14:paraId="44423727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</w:tbl>
    <w:tbl>
      <w:tblPr>
        <w:tblStyle w:val="TableGrid"/>
        <w:tblpPr w:leftFromText="180" w:rightFromText="180" w:vertAnchor="text" w:horzAnchor="page" w:tblpX="6556" w:tblpY="-1471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846"/>
        <w:gridCol w:w="1056"/>
        <w:gridCol w:w="1056"/>
      </w:tblGrid>
      <w:tr w14:paraId="44032690" w14:textId="77777777">
        <w:tblPrEx>
          <w:tblW w:w="0" w:type="auto"/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Look w:val="04A0"/>
        </w:tblPrEx>
        <w:tc>
          <w:tcPr>
            <w:tcW w:w="0" w:type="auto"/>
            <w:vAlign w:val="center"/>
          </w:tcPr>
          <w:p w:rsidR="00E173C6" w14:paraId="3ACD980C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E173C6" w14:paraId="7C4ECBFD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原核细胞</w:t>
            </w:r>
          </w:p>
        </w:tc>
        <w:tc>
          <w:tcPr>
            <w:tcW w:w="0" w:type="auto"/>
            <w:vAlign w:val="center"/>
          </w:tcPr>
          <w:p w:rsidR="00E173C6" w14:paraId="75F49B9F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真核细胞</w:t>
            </w:r>
          </w:p>
        </w:tc>
      </w:tr>
      <w:tr w14:paraId="2DC9ED44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47EB2945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细胞核</w:t>
            </w:r>
          </w:p>
        </w:tc>
        <w:tc>
          <w:tcPr>
            <w:tcW w:w="0" w:type="auto"/>
            <w:vAlign w:val="center"/>
          </w:tcPr>
          <w:p w:rsidR="00E173C6" w14:paraId="239B166F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:rsidR="00E173C6" w14:paraId="0FB8560D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  <w:tr w14:paraId="46DDECFC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36A01A8D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DNA</w:t>
            </w:r>
          </w:p>
        </w:tc>
        <w:tc>
          <w:tcPr>
            <w:tcW w:w="0" w:type="auto"/>
            <w:vAlign w:val="center"/>
          </w:tcPr>
          <w:p w:rsidR="00E173C6" w14:paraId="37276CB0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:rsidR="00E173C6" w14:paraId="7E817121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</w:tbl>
    <w:p w:rsidR="00E173C6" w14:paraId="4AD94BE6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</w:p>
    <w:tbl>
      <w:tblPr>
        <w:tblStyle w:val="TableGrid"/>
        <w:tblpPr w:leftFromText="180" w:rightFromText="180" w:vertAnchor="text" w:horzAnchor="page" w:tblpX="6271" w:tblpY="371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846"/>
        <w:gridCol w:w="1056"/>
        <w:gridCol w:w="1056"/>
      </w:tblGrid>
      <w:tr w14:paraId="2B85AF1B" w14:textId="77777777">
        <w:tblPrEx>
          <w:tblW w:w="0" w:type="auto"/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Look w:val="04A0"/>
        </w:tblPrEx>
        <w:tc>
          <w:tcPr>
            <w:tcW w:w="0" w:type="auto"/>
            <w:vAlign w:val="center"/>
          </w:tcPr>
          <w:p w:rsidR="00E173C6" w14:paraId="0D4193EB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E173C6" w14:paraId="27D45E49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原核细胞</w:t>
            </w:r>
          </w:p>
        </w:tc>
        <w:tc>
          <w:tcPr>
            <w:tcW w:w="0" w:type="auto"/>
            <w:vAlign w:val="center"/>
          </w:tcPr>
          <w:p w:rsidR="00E173C6" w14:paraId="1931EE0A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真核细胞</w:t>
            </w:r>
          </w:p>
        </w:tc>
      </w:tr>
      <w:tr w14:paraId="5340F013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429B5E7F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细胞核</w:t>
            </w:r>
          </w:p>
        </w:tc>
        <w:tc>
          <w:tcPr>
            <w:tcW w:w="0" w:type="auto"/>
            <w:vAlign w:val="center"/>
          </w:tcPr>
          <w:p w:rsidR="00E173C6" w14:paraId="5D85171C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0" w:type="auto"/>
            <w:vAlign w:val="center"/>
          </w:tcPr>
          <w:p w:rsidR="00E173C6" w14:paraId="55D4795E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  <w:tr w14:paraId="5F906EBB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7D46FC70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DNA</w:t>
            </w:r>
          </w:p>
        </w:tc>
        <w:tc>
          <w:tcPr>
            <w:tcW w:w="0" w:type="auto"/>
            <w:vAlign w:val="center"/>
          </w:tcPr>
          <w:p w:rsidR="00E173C6" w14:paraId="274F5857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:rsidR="00E173C6" w14:paraId="29FCBAA1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</w:tbl>
    <w:p w:rsidR="00E173C6" w14:paraId="42F4D745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C.</w:t>
      </w:r>
      <w:r>
        <w:rPr>
          <w:rFonts w:ascii="Times New Roman" w:eastAsia="华文中宋" w:hAnsi="Times New Roman"/>
          <w:kern w:val="0"/>
          <w:szCs w:val="21"/>
        </w:rPr>
        <w:t xml:space="preserve"> 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</w:t>
      </w:r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846"/>
        <w:gridCol w:w="1056"/>
        <w:gridCol w:w="1056"/>
      </w:tblGrid>
      <w:tr w14:paraId="7C8A52B9" w14:textId="77777777">
        <w:tblPrEx>
          <w:tblW w:w="0" w:type="auto"/>
          <w:tblBorders>
            <w:top w:val="single" w:sz="12" w:space="0" w:color="auto"/>
            <w:left w:val="none" w:sz="0" w:space="0" w:color="auto"/>
            <w:bottom w:val="single" w:sz="12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Look w:val="04A0"/>
        </w:tblPrEx>
        <w:tc>
          <w:tcPr>
            <w:tcW w:w="0" w:type="auto"/>
            <w:vAlign w:val="center"/>
          </w:tcPr>
          <w:p w:rsidR="00E173C6" w14:paraId="45F35C04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</w:p>
        </w:tc>
        <w:tc>
          <w:tcPr>
            <w:tcW w:w="0" w:type="auto"/>
            <w:vAlign w:val="center"/>
          </w:tcPr>
          <w:p w:rsidR="00E173C6" w14:paraId="241DD926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原核细胞</w:t>
            </w:r>
          </w:p>
        </w:tc>
        <w:tc>
          <w:tcPr>
            <w:tcW w:w="0" w:type="auto"/>
            <w:vAlign w:val="center"/>
          </w:tcPr>
          <w:p w:rsidR="00E173C6" w14:paraId="28205C86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真核细胞</w:t>
            </w:r>
          </w:p>
        </w:tc>
      </w:tr>
      <w:tr w14:paraId="2E090DB0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61947F70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细胞核</w:t>
            </w:r>
          </w:p>
        </w:tc>
        <w:tc>
          <w:tcPr>
            <w:tcW w:w="0" w:type="auto"/>
            <w:vAlign w:val="center"/>
          </w:tcPr>
          <w:p w:rsidR="00E173C6" w14:paraId="18E9CBD3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x</w:t>
            </w:r>
          </w:p>
        </w:tc>
        <w:tc>
          <w:tcPr>
            <w:tcW w:w="0" w:type="auto"/>
            <w:vAlign w:val="center"/>
          </w:tcPr>
          <w:p w:rsidR="00E173C6" w14:paraId="5C3D12DA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x</w:t>
            </w:r>
          </w:p>
        </w:tc>
      </w:tr>
      <w:tr w14:paraId="21170F68" w14:textId="77777777">
        <w:tblPrEx>
          <w:tblW w:w="0" w:type="auto"/>
          <w:tblLook w:val="04A0"/>
        </w:tblPrEx>
        <w:tc>
          <w:tcPr>
            <w:tcW w:w="0" w:type="auto"/>
            <w:vAlign w:val="center"/>
          </w:tcPr>
          <w:p w:rsidR="00E173C6" w14:paraId="2C5EE045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Times New Roman" w:eastAsia="华文中宋" w:hAnsi="Times New Roman"/>
                <w:szCs w:val="21"/>
              </w:rPr>
              <w:t>DNA</w:t>
            </w:r>
          </w:p>
        </w:tc>
        <w:tc>
          <w:tcPr>
            <w:tcW w:w="0" w:type="auto"/>
            <w:vAlign w:val="center"/>
          </w:tcPr>
          <w:p w:rsidR="00E173C6" w14:paraId="4ECE8DE8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  <w:tc>
          <w:tcPr>
            <w:tcW w:w="0" w:type="auto"/>
            <w:vAlign w:val="center"/>
          </w:tcPr>
          <w:p w:rsidR="00E173C6" w14:paraId="6526EB20" w14:textId="77777777">
            <w:pPr>
              <w:tabs>
                <w:tab w:val="left" w:pos="2439"/>
                <w:tab w:val="left" w:pos="4335"/>
                <w:tab w:val="left" w:pos="6339"/>
              </w:tabs>
              <w:spacing w:line="360" w:lineRule="auto"/>
              <w:jc w:val="center"/>
              <w:textAlignment w:val="center"/>
              <w:rPr>
                <w:rFonts w:ascii="Times New Roman" w:eastAsia="华文中宋" w:hAnsi="Times New Roman"/>
                <w:szCs w:val="21"/>
              </w:rPr>
            </w:pPr>
            <w:r>
              <w:rPr>
                <w:rFonts w:ascii="Symbol" w:eastAsia="华文中宋" w:hAnsi="Symbol"/>
                <w:szCs w:val="21"/>
              </w:rPr>
              <w:sym w:font="Symbol" w:char="F0D6"/>
            </w:r>
          </w:p>
        </w:tc>
      </w:tr>
    </w:tbl>
    <w:p w:rsidR="00E173C6" w14:paraId="0CB6C806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4419600</wp:posOffset>
            </wp:positionH>
            <wp:positionV relativeFrom="paragraph">
              <wp:posOffset>95250</wp:posOffset>
            </wp:positionV>
            <wp:extent cx="1653540" cy="1264920"/>
            <wp:effectExtent l="0" t="0" r="381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10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Turner</w:t>
      </w:r>
      <w:r>
        <w:rPr>
          <w:rFonts w:ascii="Times New Roman" w:eastAsia="华文中宋" w:hAnsi="Times New Roman"/>
          <w:szCs w:val="21"/>
        </w:rPr>
        <w:t>综合征患者的性染色体组成和正常女性的性染色体组成如</w:t>
      </w:r>
      <w:r>
        <w:rPr>
          <w:rFonts w:ascii="Times New Roman" w:eastAsia="华文中宋" w:hAnsi="Times New Roman" w:hint="eastAsia"/>
          <w:szCs w:val="21"/>
        </w:rPr>
        <w:t>图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据图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判断造成</w:t>
      </w:r>
      <w:r>
        <w:rPr>
          <w:rFonts w:ascii="Times New Roman" w:eastAsia="华文中宋" w:hAnsi="Times New Roman"/>
          <w:szCs w:val="21"/>
        </w:rPr>
        <w:t>Turner</w:t>
      </w:r>
      <w:r>
        <w:rPr>
          <w:rFonts w:ascii="Times New Roman" w:eastAsia="华文中宋" w:hAnsi="Times New Roman"/>
          <w:szCs w:val="21"/>
        </w:rPr>
        <w:t>综合征患者的染色体畸变类型是</w:t>
      </w:r>
    </w:p>
    <w:p w:rsidR="00E173C6" w14:paraId="5B244D58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染色体易位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染色体</w:t>
      </w:r>
      <w:r>
        <w:rPr>
          <w:rFonts w:ascii="Times New Roman" w:eastAsia="华文中宋" w:hAnsi="Times New Roman"/>
          <w:kern w:val="0"/>
          <w:szCs w:val="21"/>
        </w:rPr>
        <w:t>数目</w:t>
      </w:r>
      <w:r>
        <w:rPr>
          <w:rFonts w:ascii="Times New Roman" w:eastAsia="华文中宋" w:hAnsi="Times New Roman"/>
          <w:szCs w:val="21"/>
        </w:rPr>
        <w:t>增加</w:t>
      </w:r>
    </w:p>
    <w:p w:rsidR="00E173C6" w14:paraId="1AB80788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染色体片段缺失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整条染色体缺失</w:t>
      </w:r>
    </w:p>
    <w:p w:rsidR="00E173C6" w14:paraId="2105A8BA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4366260</wp:posOffset>
            </wp:positionH>
            <wp:positionV relativeFrom="paragraph">
              <wp:posOffset>350520</wp:posOffset>
            </wp:positionV>
            <wp:extent cx="1417320" cy="1470660"/>
            <wp:effectExtent l="0" t="0" r="0" b="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11</w:t>
      </w:r>
      <w:r>
        <w:rPr>
          <w:rFonts w:ascii="Times New Roman" w:eastAsia="华文中宋" w:hAnsi="Times New Roman"/>
          <w:szCs w:val="21"/>
        </w:rPr>
        <w:t>、图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为人类精子形成过程示意图，</w:t>
      </w:r>
      <w:r>
        <w:rPr>
          <w:rFonts w:ascii="Times New Roman" w:eastAsia="华文中宋" w:hAnsi="Times New Roman"/>
          <w:szCs w:val="21"/>
        </w:rPr>
        <w:t>I-IV</w:t>
      </w:r>
      <w:r>
        <w:rPr>
          <w:rFonts w:ascii="Times New Roman" w:eastAsia="华文中宋" w:hAnsi="Times New Roman"/>
          <w:szCs w:val="21"/>
        </w:rPr>
        <w:t>表示该过程中的不同阶段。在此过程中，细胞内出现纺锤体的阶段是</w:t>
      </w:r>
    </w:p>
    <w:p w:rsidR="00E173C6" w14:paraId="7126A383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>A. I</w:t>
      </w:r>
      <w:r>
        <w:rPr>
          <w:rFonts w:ascii="Times New Roman" w:eastAsia="华文中宋" w:hAnsi="Times New Roman"/>
          <w:szCs w:val="21"/>
        </w:rPr>
        <w:t>和</w:t>
      </w:r>
      <w:r>
        <w:rPr>
          <w:rFonts w:ascii="Times New Roman" w:eastAsia="华文中宋" w:hAnsi="Times New Roman"/>
          <w:szCs w:val="21"/>
        </w:rPr>
        <w:t>II</w:t>
      </w:r>
    </w:p>
    <w:p w:rsidR="00E173C6" w14:paraId="725BBE6A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>B. II</w:t>
      </w:r>
      <w:r>
        <w:rPr>
          <w:rFonts w:ascii="Times New Roman" w:eastAsia="华文中宋" w:hAnsi="Times New Roman"/>
          <w:szCs w:val="21"/>
        </w:rPr>
        <w:t>和</w:t>
      </w:r>
      <w:r>
        <w:rPr>
          <w:rFonts w:ascii="Times New Roman" w:eastAsia="华文中宋" w:hAnsi="Times New Roman"/>
          <w:szCs w:val="21"/>
        </w:rPr>
        <w:t>III</w:t>
      </w:r>
    </w:p>
    <w:p w:rsidR="00E173C6" w14:paraId="44A4E304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>C. II</w:t>
      </w:r>
      <w:r>
        <w:rPr>
          <w:rFonts w:ascii="Times New Roman" w:eastAsia="华文中宋" w:hAnsi="Times New Roman"/>
          <w:szCs w:val="21"/>
        </w:rPr>
        <w:t>和</w:t>
      </w:r>
      <w:r>
        <w:rPr>
          <w:rFonts w:ascii="Times New Roman" w:eastAsia="华文中宋" w:hAnsi="Times New Roman"/>
          <w:szCs w:val="21"/>
        </w:rPr>
        <w:t>IV</w:t>
      </w:r>
    </w:p>
    <w:p w:rsidR="00E173C6" w14:paraId="04A5E9B2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D. III</w:t>
      </w:r>
      <w:r>
        <w:rPr>
          <w:rFonts w:ascii="Times New Roman" w:eastAsia="华文中宋" w:hAnsi="Times New Roman"/>
          <w:szCs w:val="21"/>
        </w:rPr>
        <w:t>和</w:t>
      </w:r>
      <w:r>
        <w:rPr>
          <w:rFonts w:ascii="Times New Roman" w:eastAsia="华文中宋" w:hAnsi="Times New Roman"/>
          <w:szCs w:val="21"/>
        </w:rPr>
        <w:t>IV</w:t>
      </w:r>
    </w:p>
    <w:p w:rsidR="00E173C6" w14:paraId="6C0311F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12</w:t>
      </w:r>
      <w:r>
        <w:rPr>
          <w:rFonts w:ascii="Times New Roman" w:eastAsia="华文中宋" w:hAnsi="Times New Roman"/>
          <w:szCs w:val="21"/>
        </w:rPr>
        <w:t>、图</w:t>
      </w:r>
      <w:r>
        <w:rPr>
          <w:rFonts w:ascii="Times New Roman" w:eastAsia="华文中宋" w:hAnsi="Times New Roman"/>
          <w:szCs w:val="21"/>
        </w:rPr>
        <w:t>6</w:t>
      </w:r>
      <w:r>
        <w:rPr>
          <w:rFonts w:ascii="Times New Roman" w:eastAsia="华文中宋" w:hAnsi="Times New Roman"/>
          <w:szCs w:val="21"/>
        </w:rPr>
        <w:t>表示细胞类型的典型转换过程，能准确表示该过程的术语</w:t>
      </w:r>
    </w:p>
    <w:p w:rsidR="00E173C6" w14:paraId="4CD491A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3070860" cy="7239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11E3E585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细胞分裂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细胞生长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细胞分化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细胞衰老</w:t>
      </w:r>
    </w:p>
    <w:p w:rsidR="00E173C6" w14:paraId="6EE8E7D8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3017520</wp:posOffset>
            </wp:positionH>
            <wp:positionV relativeFrom="paragraph">
              <wp:posOffset>274320</wp:posOffset>
            </wp:positionV>
            <wp:extent cx="2674620" cy="1173480"/>
            <wp:effectExtent l="0" t="0" r="0" b="7620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13</w:t>
      </w:r>
      <w:r>
        <w:rPr>
          <w:rFonts w:ascii="Times New Roman" w:eastAsia="华文中宋" w:hAnsi="Times New Roman"/>
          <w:szCs w:val="21"/>
        </w:rPr>
        <w:t>、图</w:t>
      </w:r>
      <w:r>
        <w:rPr>
          <w:rFonts w:ascii="Times New Roman" w:eastAsia="华文中宋" w:hAnsi="Times New Roman"/>
          <w:szCs w:val="21"/>
        </w:rPr>
        <w:t>7</w:t>
      </w:r>
      <w:r>
        <w:rPr>
          <w:rFonts w:ascii="Times New Roman" w:eastAsia="华文中宋" w:hAnsi="Times New Roman"/>
          <w:szCs w:val="21"/>
        </w:rPr>
        <w:t>表示用胡萝卜根韧皮部细胞培养获得完整胡萝卜植株的简要流程，这体现了</w:t>
      </w:r>
    </w:p>
    <w:p w:rsidR="00E173C6" w14:paraId="78134313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胡萝卜细胞核的杂合性</w:t>
      </w:r>
    </w:p>
    <w:p w:rsidR="00E173C6" w14:paraId="1601289D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胡萝卜细胞的全能性</w:t>
      </w:r>
    </w:p>
    <w:p w:rsidR="00E173C6" w14:paraId="457FDA7D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胡萝卜细胞</w:t>
      </w:r>
      <w:r>
        <w:rPr>
          <w:rFonts w:ascii="Times New Roman" w:eastAsia="华文中宋" w:hAnsi="Times New Roman"/>
          <w:szCs w:val="22"/>
        </w:rPr>
        <w:t>种类</w:t>
      </w:r>
      <w:r>
        <w:rPr>
          <w:rFonts w:ascii="Times New Roman" w:eastAsia="华文中宋" w:hAnsi="Times New Roman"/>
          <w:szCs w:val="21"/>
        </w:rPr>
        <w:t>的多样性</w:t>
      </w:r>
    </w:p>
    <w:p w:rsidR="00E173C6" w14:paraId="54EDC3E0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胡萝卜细胞的易突变性</w:t>
      </w:r>
    </w:p>
    <w:p w:rsidR="00E173C6" w14:paraId="408059B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3345180</wp:posOffset>
            </wp:positionH>
            <wp:positionV relativeFrom="paragraph">
              <wp:posOffset>565150</wp:posOffset>
            </wp:positionV>
            <wp:extent cx="2384425" cy="1511935"/>
            <wp:effectExtent l="0" t="0" r="0" b="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14</w:t>
      </w:r>
      <w:r>
        <w:rPr>
          <w:rFonts w:ascii="Times New Roman" w:eastAsia="华文中宋" w:hAnsi="Times New Roman"/>
          <w:szCs w:val="21"/>
        </w:rPr>
        <w:t>、为了研究不同浓度外源生长素对小麦胚芽鞘生长的影响，用初长为</w:t>
      </w:r>
      <w:r>
        <w:rPr>
          <w:rFonts w:ascii="Times New Roman" w:eastAsia="华文中宋" w:hAnsi="Times New Roman"/>
          <w:szCs w:val="21"/>
        </w:rPr>
        <w:t>5mm</w:t>
      </w:r>
      <w:r>
        <w:rPr>
          <w:rFonts w:ascii="Times New Roman" w:eastAsia="华文中宋" w:hAnsi="Times New Roman"/>
          <w:szCs w:val="21"/>
        </w:rPr>
        <w:t>的胚芽鞘进行相关实验，结果如图</w:t>
      </w:r>
      <w:r>
        <w:rPr>
          <w:rFonts w:ascii="Times New Roman" w:eastAsia="华文中宋" w:hAnsi="Times New Roman"/>
          <w:szCs w:val="21"/>
        </w:rPr>
        <w:t>8</w:t>
      </w:r>
      <w:r>
        <w:rPr>
          <w:rFonts w:ascii="Times New Roman" w:eastAsia="华文中宋" w:hAnsi="Times New Roman"/>
          <w:szCs w:val="21"/>
        </w:rPr>
        <w:t>所示（对照组仅用蒸馏水处理</w:t>
      </w:r>
      <w:r>
        <w:rPr>
          <w:rFonts w:ascii="Times New Roman" w:eastAsia="华文中宋" w:hAnsi="Times New Roman"/>
          <w:szCs w:val="21"/>
        </w:rPr>
        <w:t>)</w:t>
      </w:r>
      <w:r>
        <w:rPr>
          <w:rFonts w:ascii="Times New Roman" w:eastAsia="华文中宋" w:hAnsi="Times New Roman"/>
          <w:szCs w:val="21"/>
        </w:rPr>
        <w:t>。据图</w:t>
      </w:r>
      <w:r>
        <w:rPr>
          <w:rFonts w:ascii="Times New Roman" w:eastAsia="华文中宋" w:hAnsi="Times New Roman"/>
          <w:szCs w:val="21"/>
        </w:rPr>
        <w:t>8</w:t>
      </w:r>
      <w:r>
        <w:rPr>
          <w:rFonts w:ascii="Times New Roman" w:eastAsia="华文中宋" w:hAnsi="Times New Roman"/>
          <w:szCs w:val="21"/>
        </w:rPr>
        <w:t>判断下列表述中</w:t>
      </w:r>
      <w:r>
        <w:rPr>
          <w:rFonts w:ascii="Times New Roman" w:eastAsia="华文中宋" w:hAnsi="Times New Roman"/>
          <w:szCs w:val="21"/>
          <w:em w:val="dot"/>
        </w:rPr>
        <w:t>错误</w:t>
      </w:r>
      <w:r>
        <w:rPr>
          <w:rFonts w:ascii="Times New Roman" w:eastAsia="华文中宋" w:hAnsi="Times New Roman"/>
          <w:szCs w:val="21"/>
        </w:rPr>
        <w:t>的是</w:t>
      </w:r>
    </w:p>
    <w:p w:rsidR="00E173C6" w14:paraId="16FFA10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无外源生长素，胚芽鞘也能</w:t>
      </w:r>
      <w:r>
        <w:rPr>
          <w:rFonts w:ascii="Times New Roman" w:eastAsia="华文中宋" w:hAnsi="Times New Roman"/>
          <w:szCs w:val="22"/>
        </w:rPr>
        <w:t>生长</w:t>
      </w:r>
    </w:p>
    <w:p w:rsidR="00E173C6" w14:paraId="67D206B9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浓度</w:t>
      </w:r>
      <w:r>
        <w:rPr>
          <w:rFonts w:ascii="Times New Roman" w:eastAsia="华文中宋" w:hAnsi="Times New Roman"/>
          <w:szCs w:val="21"/>
        </w:rPr>
        <w:t>I</w:t>
      </w:r>
      <w:r>
        <w:rPr>
          <w:rFonts w:ascii="Times New Roman" w:eastAsia="华文中宋" w:hAnsi="Times New Roman"/>
          <w:szCs w:val="21"/>
        </w:rPr>
        <w:t>的生长素可促进小麦胚芽鞘生长</w:t>
      </w:r>
    </w:p>
    <w:p w:rsidR="00E173C6" w14:paraId="7F58DE57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生长素对胚芽鞘的生长具有</w:t>
      </w:r>
      <w:r>
        <w:rPr>
          <w:rFonts w:ascii="Times New Roman" w:eastAsia="华文中宋" w:hAnsi="Times New Roman"/>
          <w:szCs w:val="22"/>
        </w:rPr>
        <w:t>双重</w:t>
      </w:r>
      <w:r>
        <w:rPr>
          <w:rFonts w:ascii="Times New Roman" w:eastAsia="华文中宋" w:hAnsi="Times New Roman"/>
          <w:szCs w:val="21"/>
        </w:rPr>
        <w:t>效应</w:t>
      </w:r>
    </w:p>
    <w:p w:rsidR="00E173C6" w14:paraId="0F56A878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浓度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的生长素可促进胚芽鞘生长</w:t>
      </w:r>
    </w:p>
    <w:p w:rsidR="00E173C6" w14:paraId="0A89B6A0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、图</w:t>
      </w:r>
      <w:r>
        <w:rPr>
          <w:rFonts w:ascii="Times New Roman" w:eastAsia="华文中宋" w:hAnsi="Times New Roman"/>
          <w:szCs w:val="21"/>
        </w:rPr>
        <w:t>9</w:t>
      </w:r>
      <w:r>
        <w:rPr>
          <w:rFonts w:ascii="Times New Roman" w:eastAsia="华文中宋" w:hAnsi="Times New Roman"/>
          <w:szCs w:val="21"/>
        </w:rPr>
        <w:t>为人体内葡萄糖氧化分解的某一途径，其中</w:t>
      </w:r>
      <w:r>
        <w:rPr>
          <w:rFonts w:ascii="宋体" w:hAnsi="宋体" w:cs="宋体" w:hint="eastAsia"/>
          <w:szCs w:val="21"/>
        </w:rPr>
        <w:t>①②③</w:t>
      </w:r>
      <w:r>
        <w:rPr>
          <w:rFonts w:ascii="Times New Roman" w:eastAsia="华文中宋" w:hAnsi="Times New Roman"/>
          <w:szCs w:val="21"/>
        </w:rPr>
        <w:t>表示代谢过程，字母代表物质，据图分析下列表述正确的是</w:t>
      </w:r>
    </w:p>
    <w:p w:rsidR="00E173C6" w14:paraId="602FBFF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3276600" cy="6781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22E518AA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是糖酵解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为</w:t>
      </w:r>
      <w:r>
        <w:rPr>
          <w:rFonts w:ascii="Times New Roman" w:eastAsia="华文中宋" w:hAnsi="Times New Roman" w:hint="eastAsia"/>
          <w:szCs w:val="21"/>
        </w:rPr>
        <w:t>三</w:t>
      </w:r>
      <w:r>
        <w:rPr>
          <w:rFonts w:ascii="Times New Roman" w:eastAsia="华文中宋" w:hAnsi="Times New Roman"/>
          <w:kern w:val="0"/>
          <w:szCs w:val="21"/>
        </w:rPr>
        <w:t>羧酸</w:t>
      </w:r>
      <w:r>
        <w:rPr>
          <w:rFonts w:ascii="Times New Roman" w:eastAsia="华文中宋" w:hAnsi="Times New Roman"/>
          <w:szCs w:val="21"/>
        </w:rPr>
        <w:t>循环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szCs w:val="21"/>
        </w:rPr>
        <w:t>有</w:t>
      </w:r>
      <w:r>
        <w:rPr>
          <w:rFonts w:ascii="Times New Roman" w:eastAsia="华文中宋" w:hAnsi="Times New Roman"/>
          <w:szCs w:val="21"/>
        </w:rPr>
        <w:t>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形成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 X</w:t>
      </w:r>
      <w:r>
        <w:rPr>
          <w:rFonts w:ascii="Times New Roman" w:eastAsia="华文中宋" w:hAnsi="Times New Roman"/>
          <w:szCs w:val="21"/>
        </w:rPr>
        <w:t>只能是</w:t>
      </w:r>
      <w:r>
        <w:rPr>
          <w:rFonts w:ascii="Times New Roman" w:eastAsia="华文中宋" w:hAnsi="Times New Roman"/>
          <w:szCs w:val="21"/>
        </w:rPr>
        <w:t>H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O</w:t>
      </w:r>
    </w:p>
    <w:p w:rsidR="00E173C6" w14:paraId="49EFFDB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16</w:t>
      </w:r>
      <w:r>
        <w:rPr>
          <w:rFonts w:ascii="Times New Roman" w:eastAsia="华文中宋" w:hAnsi="Times New Roman"/>
          <w:szCs w:val="21"/>
        </w:rPr>
        <w:t>、某芽孢杆菌只有在含蛋白胨、牛肉膏、氯化钠和微量维生素的培养基中才能生长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此时微量维生素对该菌的培养而言属于</w:t>
      </w:r>
    </w:p>
    <w:p w:rsidR="00E173C6" w14:paraId="16E5F62F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碳源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氮源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无机盐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生长因子</w:t>
      </w:r>
    </w:p>
    <w:p w:rsidR="00E173C6" w14:paraId="0F22173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17</w:t>
      </w:r>
      <w:r>
        <w:rPr>
          <w:rFonts w:ascii="Times New Roman" w:eastAsia="华文中宋" w:hAnsi="Times New Roman"/>
          <w:szCs w:val="21"/>
        </w:rPr>
        <w:t>、指甲髌骨综合征是一种由单基因显性遗传病，该基因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N)</w:t>
      </w:r>
      <w:r>
        <w:rPr>
          <w:rFonts w:ascii="Times New Roman" w:eastAsia="华文中宋" w:hAnsi="Times New Roman"/>
          <w:szCs w:val="21"/>
        </w:rPr>
        <w:t>与</w:t>
      </w:r>
      <w:r>
        <w:rPr>
          <w:rFonts w:ascii="Times New Roman" w:eastAsia="华文中宋" w:hAnsi="Times New Roman"/>
          <w:szCs w:val="21"/>
        </w:rPr>
        <w:t>I</w:t>
      </w:r>
      <w:r>
        <w:rPr>
          <w:rFonts w:ascii="Times New Roman" w:eastAsia="华文中宋" w:hAnsi="Times New Roman"/>
          <w:szCs w:val="21"/>
          <w:vertAlign w:val="superscript"/>
        </w:rPr>
        <w:t>A</w:t>
      </w:r>
      <w:r>
        <w:rPr>
          <w:rFonts w:ascii="Times New Roman" w:eastAsia="华文中宋" w:hAnsi="Times New Roman"/>
          <w:szCs w:val="21"/>
        </w:rPr>
        <w:t>基因不完全连锁。</w:t>
      </w:r>
      <w:r>
        <w:rPr>
          <w:rFonts w:ascii="Times New Roman" w:eastAsia="华文中宋" w:hAnsi="Times New Roman" w:hint="eastAsia"/>
          <w:szCs w:val="21"/>
        </w:rPr>
        <w:t>某女</w:t>
      </w:r>
      <w:r>
        <w:rPr>
          <w:rFonts w:ascii="Times New Roman" w:eastAsia="华文中宋" w:hAnsi="Times New Roman"/>
          <w:szCs w:val="21"/>
        </w:rPr>
        <w:t>患者血型基因型为</w:t>
      </w:r>
      <w:r>
        <w:rPr>
          <w:noProof/>
        </w:rPr>
        <w:drawing>
          <wp:inline distT="0" distB="0" distL="0" distR="0">
            <wp:extent cx="297180" cy="38862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0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szCs w:val="21"/>
        </w:rPr>
        <w:t>，其丈夫血型基因型为</w:t>
      </w:r>
      <w:r>
        <w:rPr>
          <w:noProof/>
        </w:rPr>
        <w:drawing>
          <wp:inline distT="0" distB="0" distL="0" distR="0">
            <wp:extent cx="335280" cy="381000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华文中宋" w:hAnsi="Times New Roman"/>
          <w:szCs w:val="21"/>
        </w:rPr>
        <w:t>。下列有关两者所生子女的判断，正确的是</w:t>
      </w:r>
    </w:p>
    <w:p w:rsidR="00E173C6" w14:paraId="29E20814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凡子女血型为</w:t>
      </w:r>
      <w:r>
        <w:rPr>
          <w:rFonts w:ascii="Times New Roman" w:eastAsia="华文中宋" w:hAnsi="Times New Roman"/>
          <w:szCs w:val="21"/>
        </w:rPr>
        <w:t>B</w:t>
      </w:r>
      <w:r>
        <w:rPr>
          <w:rFonts w:ascii="Times New Roman" w:eastAsia="华文中宋" w:hAnsi="Times New Roman"/>
          <w:szCs w:val="21"/>
        </w:rPr>
        <w:t>型或</w:t>
      </w:r>
      <w:r>
        <w:rPr>
          <w:rFonts w:ascii="Times New Roman" w:eastAsia="华文中宋" w:hAnsi="Times New Roman"/>
          <w:szCs w:val="21"/>
        </w:rPr>
        <w:t>O</w:t>
      </w:r>
      <w:r>
        <w:rPr>
          <w:rFonts w:ascii="Times New Roman" w:eastAsia="华文中宋" w:hAnsi="Times New Roman"/>
          <w:szCs w:val="21"/>
        </w:rPr>
        <w:t>型，一定不患指甲髌骨综合征</w:t>
      </w:r>
    </w:p>
    <w:p w:rsidR="00E173C6" w14:paraId="5F5CB258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凡子女</w:t>
      </w:r>
      <w:r>
        <w:rPr>
          <w:rFonts w:ascii="Times New Roman" w:eastAsia="华文中宋" w:hAnsi="Times New Roman"/>
          <w:szCs w:val="22"/>
        </w:rPr>
        <w:t>血型</w:t>
      </w:r>
      <w:r>
        <w:rPr>
          <w:rFonts w:ascii="Times New Roman" w:eastAsia="华文中宋" w:hAnsi="Times New Roman"/>
          <w:szCs w:val="21"/>
        </w:rPr>
        <w:t>为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型或</w:t>
      </w:r>
      <w:r>
        <w:rPr>
          <w:rFonts w:ascii="Times New Roman" w:eastAsia="华文中宋" w:hAnsi="Times New Roman"/>
          <w:szCs w:val="21"/>
        </w:rPr>
        <w:t>AB</w:t>
      </w:r>
      <w:r>
        <w:rPr>
          <w:rFonts w:ascii="Times New Roman" w:eastAsia="华文中宋" w:hAnsi="Times New Roman"/>
          <w:szCs w:val="21"/>
        </w:rPr>
        <w:t>型，一定为指甲髌骨综合征</w:t>
      </w:r>
    </w:p>
    <w:p w:rsidR="00E173C6" w14:paraId="0232B3F6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凡子女</w:t>
      </w:r>
      <w:r>
        <w:rPr>
          <w:rFonts w:ascii="Times New Roman" w:eastAsia="华文中宋" w:hAnsi="Times New Roman"/>
          <w:szCs w:val="22"/>
        </w:rPr>
        <w:t>血型</w:t>
      </w:r>
      <w:r>
        <w:rPr>
          <w:rFonts w:ascii="Times New Roman" w:eastAsia="华文中宋" w:hAnsi="Times New Roman"/>
          <w:szCs w:val="21"/>
        </w:rPr>
        <w:t>为</w:t>
      </w:r>
      <w:r>
        <w:rPr>
          <w:rFonts w:ascii="Times New Roman" w:eastAsia="华文中宋" w:hAnsi="Times New Roman"/>
          <w:szCs w:val="21"/>
        </w:rPr>
        <w:t>A</w:t>
      </w:r>
      <w:r>
        <w:rPr>
          <w:rFonts w:ascii="Times New Roman" w:eastAsia="华文中宋" w:hAnsi="Times New Roman"/>
          <w:szCs w:val="21"/>
        </w:rPr>
        <w:t>型或</w:t>
      </w:r>
      <w:r>
        <w:rPr>
          <w:rFonts w:ascii="Times New Roman" w:eastAsia="华文中宋" w:hAnsi="Times New Roman"/>
          <w:szCs w:val="21"/>
        </w:rPr>
        <w:t>AB</w:t>
      </w:r>
      <w:r>
        <w:rPr>
          <w:rFonts w:ascii="Times New Roman" w:eastAsia="华文中宋" w:hAnsi="Times New Roman"/>
          <w:szCs w:val="21"/>
        </w:rPr>
        <w:t>型，患指甲髌骨综合征的可能性大</w:t>
      </w:r>
    </w:p>
    <w:p w:rsidR="00E173C6" w14:paraId="6E2E9D9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无论何</w:t>
      </w:r>
      <w:r>
        <w:rPr>
          <w:rFonts w:ascii="Times New Roman" w:eastAsia="华文中宋" w:hAnsi="Times New Roman"/>
          <w:szCs w:val="21"/>
        </w:rPr>
        <w:t>种血型均可能患指甲髌骨征，患者发病风险相同</w:t>
      </w:r>
    </w:p>
    <w:p w:rsidR="00E173C6" w14:paraId="0D616130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18</w:t>
      </w:r>
      <w:r>
        <w:rPr>
          <w:rFonts w:ascii="Times New Roman" w:eastAsia="华文中宋" w:hAnsi="Times New Roman"/>
          <w:szCs w:val="21"/>
        </w:rPr>
        <w:t>、为了保留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号大鼠的性状，通过图</w:t>
      </w:r>
      <w:r>
        <w:rPr>
          <w:rFonts w:ascii="Times New Roman" w:eastAsia="华文中宋" w:hAnsi="Times New Roman"/>
          <w:szCs w:val="21"/>
        </w:rPr>
        <w:t>10</w:t>
      </w:r>
      <w:r>
        <w:rPr>
          <w:rFonts w:ascii="Times New Roman" w:eastAsia="华文中宋" w:hAnsi="Times New Roman"/>
          <w:szCs w:val="21"/>
        </w:rPr>
        <w:t>所示过程得到与其性状相同的</w:t>
      </w:r>
      <w:r>
        <w:rPr>
          <w:rFonts w:ascii="Times New Roman" w:eastAsia="华文中宋" w:hAnsi="Times New Roman"/>
          <w:szCs w:val="21"/>
        </w:rPr>
        <w:t>IV</w:t>
      </w:r>
      <w:r>
        <w:rPr>
          <w:rFonts w:ascii="Times New Roman" w:eastAsia="华文中宋" w:hAnsi="Times New Roman"/>
          <w:szCs w:val="21"/>
        </w:rPr>
        <w:t>大鼠，该过程属于</w:t>
      </w:r>
    </w:p>
    <w:p w:rsidR="00E173C6" w14:paraId="6BDA2E0D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4511040" cy="1264920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2C258AB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发酵工程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人工授精技术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基因工程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动物克隆技术</w:t>
      </w:r>
    </w:p>
    <w:p w:rsidR="00E173C6" w14:paraId="3747F1E4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4907280</wp:posOffset>
            </wp:positionH>
            <wp:positionV relativeFrom="paragraph">
              <wp:posOffset>7620</wp:posOffset>
            </wp:positionV>
            <wp:extent cx="1455420" cy="1379220"/>
            <wp:effectExtent l="0" t="0" r="0" b="0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/>
          <w:szCs w:val="21"/>
        </w:rPr>
        <w:t>19</w:t>
      </w:r>
      <w:r>
        <w:rPr>
          <w:rFonts w:ascii="Times New Roman" w:eastAsia="华文中宋" w:hAnsi="Times New Roman"/>
          <w:szCs w:val="21"/>
        </w:rPr>
        <w:t>、在野外捕获四种袖蝶，测定其染色体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碱基序列，比对结果如图</w:t>
      </w:r>
      <w:r>
        <w:rPr>
          <w:rFonts w:ascii="Times New Roman" w:eastAsia="华文中宋" w:hAnsi="Times New Roman"/>
          <w:szCs w:val="21"/>
        </w:rPr>
        <w:t>II</w:t>
      </w:r>
      <w:r>
        <w:rPr>
          <w:rFonts w:ascii="Times New Roman" w:eastAsia="华文中宋" w:hAnsi="Times New Roman"/>
          <w:szCs w:val="21"/>
        </w:rPr>
        <w:t>所</w:t>
      </w:r>
      <w:r>
        <w:rPr>
          <w:rFonts w:ascii="Times New Roman" w:eastAsia="华文中宋" w:hAnsi="Times New Roman" w:hint="eastAsia"/>
          <w:szCs w:val="21"/>
        </w:rPr>
        <w:t>示</w:t>
      </w:r>
      <w:r>
        <w:rPr>
          <w:rFonts w:ascii="Times New Roman" w:eastAsia="华文中宋" w:hAnsi="Times New Roman"/>
          <w:szCs w:val="21"/>
        </w:rPr>
        <w:t>，据此可判断四种袖蝶间的亲缘关系，图</w:t>
      </w:r>
      <w:r>
        <w:rPr>
          <w:rFonts w:ascii="Times New Roman" w:eastAsia="华文中宋" w:hAnsi="Times New Roman"/>
          <w:szCs w:val="21"/>
        </w:rPr>
        <w:t>II</w:t>
      </w:r>
      <w:r>
        <w:rPr>
          <w:rFonts w:ascii="Times New Roman" w:eastAsia="华文中宋" w:hAnsi="Times New Roman"/>
          <w:szCs w:val="21"/>
        </w:rPr>
        <w:t>所示的研究结果属于能证明生物进化的</w:t>
      </w:r>
    </w:p>
    <w:p w:rsidR="00E173C6" w14:paraId="5E177604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3558540" cy="1059180"/>
            <wp:effectExtent l="0" t="0" r="381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45176E84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胚胎学证据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比较解剖学证据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生物化学证据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</w:t>
      </w:r>
      <w:r>
        <w:rPr>
          <w:rFonts w:ascii="Times New Roman" w:eastAsia="华文中宋" w:hAnsi="Times New Roman"/>
          <w:szCs w:val="21"/>
        </w:rPr>
        <w:t>古生物化石证据</w:t>
      </w:r>
    </w:p>
    <w:p w:rsidR="00E173C6" w14:paraId="2EF7897B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</w:t>
      </w:r>
      <w:r>
        <w:rPr>
          <w:rFonts w:ascii="Times New Roman" w:eastAsia="华文中宋" w:hAnsi="Times New Roman"/>
          <w:szCs w:val="21"/>
        </w:rPr>
        <w:t>、辛普森多样性指数可以测量生物多样性，在采用样方法进行</w:t>
      </w:r>
      <w:r>
        <w:rPr>
          <w:rFonts w:ascii="Times New Roman" w:eastAsia="华文中宋" w:hAnsi="Times New Roman" w:hint="eastAsia"/>
          <w:szCs w:val="21"/>
        </w:rPr>
        <w:t>调查</w:t>
      </w:r>
      <w:r>
        <w:rPr>
          <w:rFonts w:ascii="Times New Roman" w:eastAsia="华文中宋" w:hAnsi="Times New Roman"/>
          <w:szCs w:val="21"/>
        </w:rPr>
        <w:t>时，正</w:t>
      </w:r>
      <w:r>
        <w:rPr>
          <w:rFonts w:ascii="Times New Roman" w:eastAsia="华文中宋" w:hAnsi="Times New Roman"/>
          <w:szCs w:val="21"/>
        </w:rPr>
        <w:t>确的做法是</w:t>
      </w:r>
      <w:r>
        <w:rPr>
          <w:rFonts w:ascii="Times New Roman" w:eastAsia="华文中宋" w:hAnsi="Times New Roman"/>
          <w:szCs w:val="21"/>
        </w:rPr>
        <w:t>:</w:t>
      </w:r>
    </w:p>
    <w:p w:rsidR="00E173C6" w14:paraId="6962111E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在植物</w:t>
      </w:r>
      <w:r>
        <w:rPr>
          <w:rFonts w:ascii="Times New Roman" w:eastAsia="华文中宋" w:hAnsi="Times New Roman"/>
          <w:szCs w:val="22"/>
        </w:rPr>
        <w:t>密度</w:t>
      </w:r>
      <w:r>
        <w:rPr>
          <w:rFonts w:ascii="Times New Roman" w:eastAsia="华文中宋" w:hAnsi="Times New Roman"/>
          <w:szCs w:val="21"/>
        </w:rPr>
        <w:t>高的地方选取样方</w:t>
      </w:r>
    </w:p>
    <w:p w:rsidR="00E173C6" w14:paraId="72379924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/>
          <w:szCs w:val="21"/>
        </w:rPr>
        <w:t>统计样方内植物物种数</w:t>
      </w:r>
    </w:p>
    <w:p w:rsidR="00E173C6" w14:paraId="59FAF3D6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eastAsia="华文中宋" w:hAnsi="Times New Roman"/>
          <w:szCs w:val="21"/>
        </w:rPr>
        <w:t>统计样方内每种植物的个体数</w:t>
      </w:r>
      <w:r>
        <w:rPr>
          <w:rFonts w:ascii="Times New Roman" w:eastAsia="华文中宋" w:hAnsi="Times New Roman"/>
          <w:szCs w:val="21"/>
        </w:rPr>
        <w:t xml:space="preserve"> </w:t>
      </w:r>
    </w:p>
    <w:p w:rsidR="00E173C6" w14:paraId="0B693907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宋体" w:hAnsi="宋体" w:cs="宋体" w:hint="eastAsia"/>
          <w:szCs w:val="21"/>
        </w:rPr>
        <w:t>①②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宋体" w:hAnsi="宋体" w:cs="宋体" w:hint="eastAsia"/>
          <w:szCs w:val="21"/>
        </w:rPr>
        <w:t>①③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宋体" w:hAnsi="宋体" w:cs="宋体" w:hint="eastAsia"/>
          <w:szCs w:val="21"/>
        </w:rPr>
        <w:t>②③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宋体" w:hAnsi="宋体" w:cs="宋体" w:hint="eastAsia"/>
          <w:szCs w:val="21"/>
        </w:rPr>
        <w:t>①②③</w:t>
      </w:r>
      <w:r>
        <w:rPr>
          <w:rFonts w:ascii="Times New Roman" w:eastAsia="华文中宋" w:hAnsi="Times New Roman"/>
          <w:szCs w:val="21"/>
        </w:rPr>
        <w:t xml:space="preserve"> </w:t>
      </w:r>
    </w:p>
    <w:p w:rsidR="00E173C6" w14:paraId="5EBD84AD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</w:p>
    <w:p w:rsidR="00E173C6" w14:paraId="2797D776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b/>
          <w:bCs/>
          <w:szCs w:val="21"/>
        </w:rPr>
      </w:pPr>
      <w:r>
        <w:rPr>
          <w:rFonts w:ascii="Times New Roman" w:eastAsia="华文中宋" w:hAnsi="Times New Roman"/>
          <w:b/>
          <w:bCs/>
          <w:szCs w:val="21"/>
        </w:rPr>
        <w:t>二、综合题</w:t>
      </w:r>
    </w:p>
    <w:p w:rsidR="00E173C6" w14:paraId="073191F4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（一）细胞和细胞分裂（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E173C6" w14:paraId="13B8E714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下面图</w:t>
      </w:r>
      <w:r>
        <w:rPr>
          <w:rFonts w:ascii="Times New Roman" w:eastAsia="华文中宋" w:hAnsi="Times New Roman"/>
          <w:szCs w:val="21"/>
        </w:rPr>
        <w:t>12</w:t>
      </w:r>
      <w:r>
        <w:rPr>
          <w:rFonts w:ascii="Times New Roman" w:eastAsia="华文中宋" w:hAnsi="Times New Roman"/>
          <w:szCs w:val="21"/>
        </w:rPr>
        <w:t>是细胞的部分亚显微结构，图</w:t>
      </w:r>
      <w:r>
        <w:rPr>
          <w:rFonts w:ascii="Times New Roman" w:eastAsia="华文中宋" w:hAnsi="Times New Roman"/>
          <w:szCs w:val="21"/>
        </w:rPr>
        <w:t>13</w:t>
      </w:r>
      <w:r>
        <w:rPr>
          <w:rFonts w:ascii="Times New Roman" w:eastAsia="华文中宋" w:hAnsi="Times New Roman"/>
          <w:szCs w:val="21"/>
        </w:rPr>
        <w:t>中</w:t>
      </w:r>
      <w:r>
        <w:rPr>
          <w:rFonts w:ascii="Times New Roman" w:eastAsia="华文中宋" w:hAnsi="Times New Roman"/>
          <w:szCs w:val="21"/>
        </w:rPr>
        <w:t>X</w:t>
      </w:r>
      <w:r>
        <w:rPr>
          <w:rFonts w:ascii="Times New Roman" w:eastAsia="华文中宋" w:hAnsi="Times New Roman"/>
          <w:szCs w:val="21"/>
          <w:vertAlign w:val="subscript"/>
        </w:rPr>
        <w:t>1</w:t>
      </w:r>
      <w:r>
        <w:rPr>
          <w:rFonts w:ascii="Times New Roman" w:eastAsia="华文中宋" w:hAnsi="Times New Roman"/>
          <w:szCs w:val="21"/>
        </w:rPr>
        <w:t>-X</w:t>
      </w:r>
      <w:r>
        <w:rPr>
          <w:rFonts w:ascii="Times New Roman" w:eastAsia="华文中宋" w:hAnsi="Times New Roman"/>
          <w:szCs w:val="21"/>
          <w:vertAlign w:val="subscript"/>
        </w:rPr>
        <w:t>5</w:t>
      </w:r>
      <w:r>
        <w:rPr>
          <w:rFonts w:ascii="Times New Roman" w:eastAsia="华文中宋" w:hAnsi="Times New Roman"/>
          <w:szCs w:val="21"/>
        </w:rPr>
        <w:t>为细胞的不同状态。</w:t>
      </w:r>
    </w:p>
    <w:p w:rsidR="00E173C6" w14:paraId="3785AEE7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4869180" cy="2255520"/>
            <wp:effectExtent l="0" t="0" r="762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1E93961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21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12</w:t>
      </w:r>
      <w:r>
        <w:rPr>
          <w:rFonts w:ascii="Times New Roman" w:eastAsia="华文中宋" w:hAnsi="Times New Roman"/>
          <w:szCs w:val="21"/>
        </w:rPr>
        <w:t>中的膜结构</w:t>
      </w:r>
      <w:r>
        <w:rPr>
          <w:rFonts w:ascii="Times New Roman" w:eastAsia="华文中宋" w:hAnsi="Times New Roman"/>
          <w:szCs w:val="21"/>
        </w:rPr>
        <w:t>X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1EF16605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内质网膜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溶酶体膜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液泡膜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核膜</w:t>
      </w:r>
    </w:p>
    <w:p w:rsidR="00E173C6" w14:paraId="2DE37EBF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22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分）膜结构</w:t>
      </w:r>
      <w:r>
        <w:rPr>
          <w:rFonts w:ascii="Times New Roman" w:eastAsia="华文中宋" w:hAnsi="Times New Roman"/>
          <w:szCs w:val="21"/>
        </w:rPr>
        <w:t>X</w:t>
      </w:r>
      <w:r>
        <w:rPr>
          <w:rFonts w:ascii="Times New Roman" w:eastAsia="华文中宋" w:hAnsi="Times New Roman"/>
          <w:szCs w:val="21"/>
        </w:rPr>
        <w:t>的主要物质组成是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0B823052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23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12</w:t>
      </w:r>
      <w:r>
        <w:rPr>
          <w:rFonts w:ascii="Times New Roman" w:eastAsia="华文中宋" w:hAnsi="Times New Roman"/>
          <w:szCs w:val="21"/>
        </w:rPr>
        <w:t>核糖体亚单位穿过膜结构</w:t>
      </w:r>
      <w:r>
        <w:rPr>
          <w:rFonts w:ascii="Times New Roman" w:eastAsia="华文中宋" w:hAnsi="Times New Roman"/>
          <w:szCs w:val="21"/>
        </w:rPr>
        <w:t>X</w:t>
      </w:r>
      <w:r>
        <w:rPr>
          <w:rFonts w:ascii="Times New Roman" w:eastAsia="华文中宋" w:hAnsi="Times New Roman"/>
          <w:szCs w:val="21"/>
        </w:rPr>
        <w:t>的运输方式属于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1C845F7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渗透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协助扩散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自由扩散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主动运输</w:t>
      </w:r>
    </w:p>
    <w:p w:rsidR="00E173C6" w14:paraId="1D4FB32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24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分）根据图</w:t>
      </w:r>
      <w:r>
        <w:rPr>
          <w:rFonts w:ascii="Times New Roman" w:eastAsia="华文中宋" w:hAnsi="Times New Roman"/>
          <w:szCs w:val="21"/>
        </w:rPr>
        <w:t>13</w:t>
      </w:r>
      <w:r>
        <w:rPr>
          <w:rFonts w:ascii="Times New Roman" w:eastAsia="华文中宋" w:hAnsi="Times New Roman"/>
          <w:szCs w:val="21"/>
        </w:rPr>
        <w:t>细胞周期各阶段时长关系推测，下列正确的是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15996F63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kern w:val="0"/>
          <w:szCs w:val="21"/>
        </w:rPr>
      </w:pPr>
      <w:r>
        <w:rPr>
          <w:rFonts w:ascii="Times New Roman" w:eastAsia="华文中宋" w:hAnsi="Times New Roman"/>
          <w:szCs w:val="21"/>
        </w:rPr>
        <w:t>A. I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szCs w:val="21"/>
        </w:rPr>
        <w:t>&gt;III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B. GI</w:t>
      </w:r>
      <w:r>
        <w:rPr>
          <w:rFonts w:ascii="Times New Roman" w:eastAsia="华文中宋" w:hAnsi="Times New Roman"/>
          <w:szCs w:val="21"/>
        </w:rPr>
        <w:t>期</w:t>
      </w:r>
      <w:r>
        <w:rPr>
          <w:rFonts w:ascii="Times New Roman" w:eastAsia="华文中宋" w:hAnsi="Times New Roman"/>
          <w:szCs w:val="21"/>
        </w:rPr>
        <w:t>+I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szCs w:val="21"/>
        </w:rPr>
        <w:t>&gt;II</w:t>
      </w:r>
      <w:r>
        <w:rPr>
          <w:rFonts w:ascii="Times New Roman" w:eastAsia="华文中宋" w:hAnsi="Times New Roman"/>
          <w:szCs w:val="21"/>
        </w:rPr>
        <w:t>阶段</w:t>
      </w:r>
    </w:p>
    <w:p w:rsidR="00E173C6" w14:paraId="3A52D89F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C. GI</w:t>
      </w:r>
      <w:r>
        <w:rPr>
          <w:rFonts w:ascii="Times New Roman" w:eastAsia="华文中宋" w:hAnsi="Times New Roman"/>
          <w:szCs w:val="21"/>
        </w:rPr>
        <w:t>期</w:t>
      </w:r>
      <w:r>
        <w:rPr>
          <w:rFonts w:ascii="Times New Roman" w:eastAsia="华文中宋" w:hAnsi="Times New Roman"/>
          <w:szCs w:val="21"/>
        </w:rPr>
        <w:t>&gt;IV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>D.GI</w:t>
      </w:r>
      <w:r>
        <w:rPr>
          <w:rFonts w:ascii="Times New Roman" w:eastAsia="华文中宋" w:hAnsi="Times New Roman"/>
          <w:szCs w:val="21"/>
        </w:rPr>
        <w:t>期</w:t>
      </w:r>
      <w:r>
        <w:rPr>
          <w:rFonts w:ascii="Times New Roman" w:eastAsia="华文中宋" w:hAnsi="Times New Roman"/>
          <w:szCs w:val="21"/>
        </w:rPr>
        <w:t>+I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szCs w:val="21"/>
        </w:rPr>
        <w:t>&gt;II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szCs w:val="21"/>
        </w:rPr>
        <w:t>+III</w:t>
      </w:r>
      <w:r>
        <w:rPr>
          <w:rFonts w:ascii="Times New Roman" w:eastAsia="华文中宋" w:hAnsi="Times New Roman"/>
          <w:szCs w:val="21"/>
        </w:rPr>
        <w:t>阶段</w:t>
      </w:r>
      <w:r>
        <w:rPr>
          <w:rFonts w:ascii="Times New Roman" w:eastAsia="华文中宋" w:hAnsi="Times New Roman"/>
          <w:szCs w:val="21"/>
        </w:rPr>
        <w:t>+IV</w:t>
      </w:r>
      <w:r>
        <w:rPr>
          <w:rFonts w:ascii="Times New Roman" w:eastAsia="华文中宋" w:hAnsi="Times New Roman"/>
          <w:szCs w:val="21"/>
        </w:rPr>
        <w:t>阶段</w:t>
      </w:r>
    </w:p>
    <w:p w:rsidR="00E173C6" w14:paraId="174D1352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25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分）根据有丝分裂过程，写出图中</w:t>
      </w:r>
      <w:r>
        <w:rPr>
          <w:rFonts w:ascii="Times New Roman" w:eastAsia="华文中宋" w:hAnsi="Times New Roman"/>
          <w:szCs w:val="21"/>
        </w:rPr>
        <w:t>X</w:t>
      </w:r>
      <w:r>
        <w:rPr>
          <w:rFonts w:ascii="Times New Roman" w:eastAsia="华文中宋" w:hAnsi="Times New Roman"/>
          <w:szCs w:val="21"/>
          <w:vertAlign w:val="subscript"/>
        </w:rPr>
        <w:t>1</w:t>
      </w:r>
      <w:r>
        <w:rPr>
          <w:rFonts w:ascii="Times New Roman" w:eastAsia="华文中宋" w:hAnsi="Times New Roman"/>
          <w:szCs w:val="21"/>
        </w:rPr>
        <w:t>和</w:t>
      </w:r>
      <w:r>
        <w:rPr>
          <w:rFonts w:ascii="Times New Roman" w:eastAsia="华文中宋" w:hAnsi="Times New Roman"/>
          <w:szCs w:val="21"/>
        </w:rPr>
        <w:t>X</w:t>
      </w:r>
      <w:r>
        <w:rPr>
          <w:rFonts w:ascii="Times New Roman" w:eastAsia="华文中宋" w:hAnsi="Times New Roman"/>
          <w:szCs w:val="21"/>
          <w:vertAlign w:val="subscript"/>
        </w:rPr>
        <w:t>3</w:t>
      </w:r>
      <w:r>
        <w:rPr>
          <w:rFonts w:ascii="Times New Roman" w:eastAsia="华文中宋" w:hAnsi="Times New Roman"/>
          <w:szCs w:val="21"/>
        </w:rPr>
        <w:t>两种状态细胞内的核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含量差异，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据图</w:t>
      </w:r>
      <w:r>
        <w:rPr>
          <w:rFonts w:ascii="Times New Roman" w:eastAsia="华文中宋" w:hAnsi="Times New Roman"/>
          <w:szCs w:val="21"/>
        </w:rPr>
        <w:t>13</w:t>
      </w:r>
      <w:r>
        <w:rPr>
          <w:rFonts w:ascii="Times New Roman" w:eastAsia="华文中宋" w:hAnsi="Times New Roman"/>
          <w:szCs w:val="21"/>
        </w:rPr>
        <w:t>描述两种状态细胞核的形态差异，并分别解释这些差异的意义。</w:t>
      </w:r>
    </w:p>
    <w:p w:rsidR="00E173C6" w14:paraId="02EAF62D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:rsidR="00E173C6" w14:paraId="0AF2D778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</w:p>
    <w:p w:rsidR="00E173C6" w14:paraId="2140D62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（二）生命活动调节（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E173C6" w14:paraId="4F63C862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科研人员培养了一种转基因小鼠，使其体内的</w:t>
      </w:r>
      <w:r>
        <w:rPr>
          <w:rFonts w:ascii="Times New Roman" w:eastAsia="华文中宋" w:hAnsi="Times New Roman"/>
          <w:szCs w:val="21"/>
        </w:rPr>
        <w:t>G</w:t>
      </w:r>
      <w:r>
        <w:rPr>
          <w:rFonts w:ascii="Times New Roman" w:eastAsia="华文中宋" w:hAnsi="Times New Roman"/>
          <w:szCs w:val="21"/>
        </w:rPr>
        <w:t>S</w:t>
      </w:r>
      <w:r>
        <w:rPr>
          <w:rFonts w:ascii="Times New Roman" w:eastAsia="华文中宋" w:hAnsi="Times New Roman"/>
          <w:szCs w:val="21"/>
        </w:rPr>
        <w:t>神经元表达出铁蛋白，发射电磁波可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激活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神经元内的铁蛋白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图</w:t>
      </w:r>
      <w:r>
        <w:rPr>
          <w:rFonts w:ascii="Times New Roman" w:eastAsia="华文中宋" w:hAnsi="Times New Roman"/>
          <w:szCs w:val="21"/>
        </w:rPr>
        <w:t>14)</w:t>
      </w:r>
      <w:r>
        <w:rPr>
          <w:rFonts w:ascii="Times New Roman" w:eastAsia="华文中宋" w:hAnsi="Times New Roman"/>
          <w:szCs w:val="21"/>
        </w:rPr>
        <w:t>，继而引发该神经元兴奋。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神经元兴奋后会使血糖水平发生变化。用电磁波照射转基因小鼠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实验组</w:t>
      </w:r>
      <w:r>
        <w:rPr>
          <w:rFonts w:ascii="Times New Roman" w:eastAsia="华文中宋" w:hAnsi="Times New Roman"/>
          <w:szCs w:val="21"/>
        </w:rPr>
        <w:t>)</w:t>
      </w:r>
      <w:r>
        <w:rPr>
          <w:rFonts w:ascii="Times New Roman" w:eastAsia="华文中宋" w:hAnsi="Times New Roman"/>
          <w:szCs w:val="21"/>
        </w:rPr>
        <w:t>和非转基因小鼠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对照组</w:t>
      </w:r>
      <w:r>
        <w:rPr>
          <w:rFonts w:ascii="Times New Roman" w:eastAsia="华文中宋" w:hAnsi="Times New Roman"/>
          <w:szCs w:val="21"/>
        </w:rPr>
        <w:t>)</w:t>
      </w:r>
      <w:r>
        <w:rPr>
          <w:rFonts w:ascii="Times New Roman" w:eastAsia="华文中宋" w:hAnsi="Times New Roman"/>
          <w:szCs w:val="21"/>
        </w:rPr>
        <w:t>，连续监测两者血</w:t>
      </w:r>
      <w:r>
        <w:rPr>
          <w:rFonts w:ascii="Times New Roman" w:eastAsia="华文中宋" w:hAnsi="Times New Roman"/>
          <w:szCs w:val="21"/>
        </w:rPr>
        <w:t>糖变化的结果如图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所示。</w:t>
      </w:r>
    </w:p>
    <w:p w:rsidR="00E173C6" w14:paraId="420B33BA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4808220" cy="198882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42CC39B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26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14</w:t>
      </w:r>
      <w:r>
        <w:rPr>
          <w:rFonts w:ascii="Times New Roman" w:eastAsia="华文中宋" w:hAnsi="Times New Roman"/>
          <w:szCs w:val="21"/>
        </w:rPr>
        <w:t>中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神经元膜两侧</w:t>
      </w:r>
      <w:r>
        <w:rPr>
          <w:rFonts w:ascii="Times New Roman" w:eastAsia="华文中宋" w:hAnsi="Times New Roman"/>
          <w:szCs w:val="21"/>
        </w:rPr>
        <w:t>I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II</w:t>
      </w:r>
      <w:r>
        <w:rPr>
          <w:rFonts w:ascii="Times New Roman" w:eastAsia="华文中宋" w:hAnsi="Times New Roman"/>
          <w:szCs w:val="21"/>
        </w:rPr>
        <w:t>分别是</w:t>
      </w:r>
      <w:r>
        <w:rPr>
          <w:rFonts w:ascii="Times New Roman" w:eastAsia="华文中宋" w:hAnsi="Times New Roman"/>
          <w:szCs w:val="21"/>
        </w:rPr>
        <w:t>_________________</w:t>
      </w:r>
    </w:p>
    <w:p w:rsidR="00E173C6" w14:paraId="2FCFF954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组织液和细胞质基质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组织液和淋巴液</w:t>
      </w:r>
    </w:p>
    <w:p w:rsidR="00E173C6" w14:paraId="589CD40C" w14:textId="77777777">
      <w:pPr>
        <w:tabs>
          <w:tab w:val="left" w:pos="426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细胞质基质和组织液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淋巴液和组织液</w:t>
      </w:r>
    </w:p>
    <w:p w:rsidR="00E173C6" w14:paraId="137FA39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27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神经元接受信号后产生兴奋，神经元的膜两侧电荷分布为</w:t>
      </w:r>
      <w:r>
        <w:rPr>
          <w:rFonts w:ascii="Times New Roman" w:eastAsia="华文中宋" w:hAnsi="Times New Roman"/>
          <w:szCs w:val="21"/>
        </w:rPr>
        <w:t>_______________</w:t>
      </w:r>
    </w:p>
    <w:p w:rsidR="00E173C6" w14:paraId="22B4439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28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14</w:t>
      </w:r>
      <w:r>
        <w:rPr>
          <w:rFonts w:ascii="Times New Roman" w:eastAsia="华文中宋" w:hAnsi="Times New Roman"/>
          <w:szCs w:val="21"/>
        </w:rPr>
        <w:t>可知，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神经元内铁蛋白的作用最类似于下列物质或结构中</w:t>
      </w:r>
      <w:r>
        <w:rPr>
          <w:rFonts w:ascii="Times New Roman" w:eastAsia="华文中宋" w:hAnsi="Times New Roman"/>
          <w:szCs w:val="21"/>
        </w:rPr>
        <w:t>__________</w:t>
      </w:r>
    </w:p>
    <w:p w:rsidR="00E173C6" w14:paraId="78916F89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神经递质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神经递质受体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突触小泡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离子运输载体</w:t>
      </w:r>
    </w:p>
    <w:p w:rsidR="00E173C6" w14:paraId="7E70D4C0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29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分）据题中信息，实验小鼠体内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神经元兴奋后血糖发生变化。下列属于该调节过程的效应器的有</w:t>
      </w:r>
      <w:r>
        <w:rPr>
          <w:rFonts w:ascii="Times New Roman" w:eastAsia="华文中宋" w:hAnsi="Times New Roman"/>
          <w:szCs w:val="21"/>
        </w:rPr>
        <w:t>_________________ (</w:t>
      </w:r>
      <w:r>
        <w:rPr>
          <w:rFonts w:ascii="Times New Roman" w:eastAsia="华文中宋" w:hAnsi="Times New Roman"/>
          <w:szCs w:val="21"/>
        </w:rPr>
        <w:t>多选）</w:t>
      </w:r>
    </w:p>
    <w:p w:rsidR="00E173C6" w14:paraId="499EBEDD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胰岛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肾上腺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肝脏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唾液腺</w:t>
      </w:r>
    </w:p>
    <w:p w:rsidR="00E173C6" w14:paraId="6A0CFA86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30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</w:t>
      </w:r>
      <w:r>
        <w:rPr>
          <w:rFonts w:ascii="Times New Roman" w:eastAsia="华文中宋" w:hAnsi="Times New Roman"/>
          <w:szCs w:val="21"/>
        </w:rPr>
        <w:t>GS</w:t>
      </w:r>
      <w:r>
        <w:rPr>
          <w:rFonts w:ascii="Times New Roman" w:eastAsia="华文中宋" w:hAnsi="Times New Roman"/>
          <w:szCs w:val="21"/>
        </w:rPr>
        <w:t>神经元兴奋后，通过调节细胞内新陈代谢，最终改变血浆葡萄糖水平。下列过程中能改变血糖水平的是</w:t>
      </w:r>
      <w:r>
        <w:rPr>
          <w:rFonts w:ascii="Times New Roman" w:eastAsia="华文中宋" w:hAnsi="Times New Roman"/>
          <w:szCs w:val="21"/>
        </w:rPr>
        <w:t>_________________ (</w:t>
      </w:r>
      <w:r>
        <w:rPr>
          <w:rFonts w:ascii="Times New Roman" w:eastAsia="华文中宋" w:hAnsi="Times New Roman"/>
          <w:szCs w:val="21"/>
        </w:rPr>
        <w:t>多选）</w:t>
      </w:r>
    </w:p>
    <w:p w:rsidR="00E173C6" w14:paraId="0EF3E982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糖原分解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B. </w:t>
      </w:r>
      <w:r>
        <w:rPr>
          <w:rFonts w:ascii="Times New Roman" w:eastAsia="华文中宋" w:hAnsi="Times New Roman"/>
          <w:szCs w:val="21"/>
        </w:rPr>
        <w:t>糖氧化分解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脂肪分解</w:t>
      </w:r>
      <w:r>
        <w:rPr>
          <w:rFonts w:ascii="Times New Roman" w:eastAsia="华文中宋" w:hAnsi="Times New Roman"/>
          <w:kern w:val="0"/>
          <w:szCs w:val="21"/>
        </w:rPr>
        <w:tab/>
      </w:r>
      <w:r>
        <w:rPr>
          <w:rFonts w:ascii="Times New Roman" w:eastAsia="华文中宋" w:hAnsi="Times New Roman"/>
          <w:szCs w:val="21"/>
        </w:rPr>
        <w:t xml:space="preserve">D. </w:t>
      </w:r>
      <w:r>
        <w:rPr>
          <w:rFonts w:ascii="Times New Roman" w:eastAsia="华文中宋" w:hAnsi="Times New Roman"/>
          <w:szCs w:val="21"/>
        </w:rPr>
        <w:t>脂肪合成</w:t>
      </w:r>
    </w:p>
    <w:p w:rsidR="00E173C6" w14:paraId="3E51D93F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31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分）据图</w:t>
      </w:r>
      <w:r>
        <w:rPr>
          <w:rFonts w:ascii="Times New Roman" w:eastAsia="华文中宋" w:hAnsi="Times New Roman"/>
          <w:szCs w:val="21"/>
        </w:rPr>
        <w:t>15</w:t>
      </w:r>
      <w:r>
        <w:rPr>
          <w:rFonts w:ascii="Times New Roman" w:eastAsia="华文中宋" w:hAnsi="Times New Roman"/>
          <w:szCs w:val="21"/>
        </w:rPr>
        <w:t>写出实验组和对照组的血糖变化对电磁波的表现差异</w:t>
      </w:r>
    </w:p>
    <w:p w:rsidR="00E173C6" w14:paraId="6508287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 w:hint="eastAsia"/>
          <w:szCs w:val="21"/>
        </w:rPr>
        <w:t>_______________________________________________________________________________</w:t>
      </w:r>
    </w:p>
    <w:p w:rsidR="00E173C6" w14:paraId="0506451D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</w:p>
    <w:p w:rsidR="00E173C6" w14:paraId="5C962D1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（三）人类遗传病（</w:t>
      </w:r>
      <w:r>
        <w:rPr>
          <w:rFonts w:ascii="Times New Roman" w:eastAsia="华文中宋" w:hAnsi="Times New Roman"/>
          <w:b/>
          <w:szCs w:val="21"/>
        </w:rPr>
        <w:t>12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E173C6" w14:paraId="084DD1F6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肾上腺皮质营养不良症</w:t>
      </w:r>
      <w:r>
        <w:rPr>
          <w:rFonts w:ascii="Times New Roman" w:eastAsia="华文中宋" w:hAnsi="Times New Roman" w:hint="eastAsia"/>
          <w:szCs w:val="21"/>
        </w:rPr>
        <w:t>(</w:t>
      </w:r>
      <w:r>
        <w:rPr>
          <w:rFonts w:ascii="Times New Roman" w:eastAsia="华文中宋" w:hAnsi="Times New Roman"/>
          <w:szCs w:val="21"/>
        </w:rPr>
        <w:t>ALD)</w:t>
      </w:r>
      <w:r>
        <w:rPr>
          <w:rFonts w:ascii="Times New Roman" w:eastAsia="华文中宋" w:hAnsi="Times New Roman"/>
          <w:szCs w:val="21"/>
        </w:rPr>
        <w:t>是</w:t>
      </w:r>
      <w:r>
        <w:rPr>
          <w:rFonts w:ascii="Times New Roman" w:eastAsia="华文中宋" w:hAnsi="Times New Roman"/>
          <w:szCs w:val="21"/>
        </w:rPr>
        <w:t>一种遗传病。图</w:t>
      </w:r>
      <w:r>
        <w:rPr>
          <w:rFonts w:ascii="Times New Roman" w:eastAsia="华文中宋" w:hAnsi="Times New Roman"/>
          <w:szCs w:val="21"/>
        </w:rPr>
        <w:t>16</w:t>
      </w:r>
      <w:r>
        <w:rPr>
          <w:rFonts w:ascii="Times New Roman" w:eastAsia="华文中宋" w:hAnsi="Times New Roman"/>
          <w:szCs w:val="21"/>
        </w:rPr>
        <w:t>是该遗传病的某家系系谱图。己知</w:t>
      </w:r>
      <w:r>
        <w:rPr>
          <w:rFonts w:ascii="Times New Roman" w:eastAsia="华文中宋" w:hAnsi="Times New Roman"/>
          <w:szCs w:val="21"/>
        </w:rPr>
        <w:t>III-7</w:t>
      </w:r>
      <w:r>
        <w:rPr>
          <w:rFonts w:ascii="Times New Roman" w:eastAsia="华文中宋" w:hAnsi="Times New Roman"/>
          <w:szCs w:val="21"/>
        </w:rPr>
        <w:t>不携带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致病基因。</w:t>
      </w:r>
    </w:p>
    <w:p w:rsidR="00E173C6" w14:paraId="2C7C79B9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3261360" cy="20421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3E568041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32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分）基于图</w:t>
      </w:r>
      <w:r>
        <w:rPr>
          <w:rFonts w:ascii="Times New Roman" w:eastAsia="华文中宋" w:hAnsi="Times New Roman"/>
          <w:szCs w:val="21"/>
        </w:rPr>
        <w:t>16</w:t>
      </w:r>
      <w:r>
        <w:rPr>
          <w:rFonts w:ascii="Times New Roman" w:eastAsia="华文中宋" w:hAnsi="Times New Roman"/>
          <w:szCs w:val="21"/>
        </w:rPr>
        <w:t>可判断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的致病基因为</w:t>
      </w:r>
      <w:r>
        <w:rPr>
          <w:rFonts w:ascii="Times New Roman" w:eastAsia="华文中宋" w:hAnsi="Times New Roman"/>
          <w:szCs w:val="21"/>
        </w:rPr>
        <w:t>_________________ (</w:t>
      </w:r>
      <w:r>
        <w:rPr>
          <w:rFonts w:ascii="Times New Roman" w:eastAsia="华文中宋" w:hAnsi="Times New Roman"/>
          <w:szCs w:val="21"/>
        </w:rPr>
        <w:t>显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隐）性。</w:t>
      </w:r>
    </w:p>
    <w:p w:rsidR="00E173C6" w14:paraId="1783137C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33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分）据统计，在人群中带有该致病基因的男性出现的频率为</w:t>
      </w:r>
      <w:r>
        <w:rPr>
          <w:rFonts w:ascii="Times New Roman" w:eastAsia="华文中宋" w:hAnsi="Times New Roman"/>
          <w:szCs w:val="21"/>
        </w:rPr>
        <w:t>1</w:t>
      </w:r>
      <w:r>
        <w:rPr>
          <w:rFonts w:ascii="Times New Roman" w:eastAsia="华文中宋" w:hAnsi="Times New Roman"/>
          <w:szCs w:val="21"/>
        </w:rPr>
        <w:t>：</w:t>
      </w:r>
      <w:r>
        <w:rPr>
          <w:rFonts w:ascii="Times New Roman" w:eastAsia="华文中宋" w:hAnsi="Times New Roman"/>
          <w:szCs w:val="21"/>
        </w:rPr>
        <w:t>42,000</w:t>
      </w:r>
      <w:r>
        <w:rPr>
          <w:rFonts w:ascii="Times New Roman" w:eastAsia="华文中宋" w:hAnsi="Times New Roman"/>
          <w:szCs w:val="21"/>
        </w:rPr>
        <w:t>，若同时考虑男女性致病基因携带者，则频率</w:t>
      </w:r>
      <w:r>
        <w:rPr>
          <w:rFonts w:ascii="Times New Roman" w:eastAsia="华文中宋" w:hAnsi="Times New Roman"/>
          <w:szCs w:val="21"/>
        </w:rPr>
        <w:t>1: 16,800</w:t>
      </w:r>
      <w:r>
        <w:rPr>
          <w:rFonts w:ascii="Times New Roman" w:eastAsia="华文中宋" w:hAnsi="Times New Roman"/>
          <w:szCs w:val="21"/>
        </w:rPr>
        <w:t>，由于推断该致病基因最可能位于</w:t>
      </w:r>
      <w:r>
        <w:rPr>
          <w:rFonts w:ascii="Times New Roman" w:eastAsia="华文中宋" w:hAnsi="Times New Roman"/>
          <w:szCs w:val="21"/>
        </w:rPr>
        <w:t xml:space="preserve">___________  </w:t>
      </w:r>
      <w:r>
        <w:rPr>
          <w:rFonts w:ascii="Times New Roman" w:eastAsia="华文中宋" w:hAnsi="Times New Roman"/>
          <w:szCs w:val="21"/>
        </w:rPr>
        <w:t>(</w:t>
      </w:r>
      <w:r>
        <w:rPr>
          <w:rFonts w:ascii="Times New Roman" w:eastAsia="华文中宋" w:hAnsi="Times New Roman"/>
          <w:szCs w:val="21"/>
        </w:rPr>
        <w:t>常</w:t>
      </w:r>
      <w:r>
        <w:rPr>
          <w:rFonts w:ascii="Times New Roman" w:eastAsia="华文中宋" w:hAnsi="Times New Roman"/>
          <w:szCs w:val="21"/>
        </w:rPr>
        <w:t>/X/Y)</w:t>
      </w:r>
      <w:r>
        <w:rPr>
          <w:rFonts w:ascii="Times New Roman" w:eastAsia="华文中宋" w:hAnsi="Times New Roman"/>
          <w:szCs w:val="21"/>
        </w:rPr>
        <w:t>染色体上。推测的过程是：女性致病基因携带者出现的频率比男性致病基因携带者出现的频率</w:t>
      </w:r>
      <w:r>
        <w:rPr>
          <w:rFonts w:ascii="Times New Roman" w:eastAsia="华文中宋" w:hAnsi="Times New Roman"/>
          <w:szCs w:val="21"/>
        </w:rPr>
        <w:t>_________________ (</w:t>
      </w:r>
      <w:r>
        <w:rPr>
          <w:rFonts w:ascii="Times New Roman" w:eastAsia="华文中宋" w:hAnsi="Times New Roman"/>
          <w:szCs w:val="21"/>
        </w:rPr>
        <w:t>高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低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Times New Roman" w:eastAsia="华文中宋" w:hAnsi="Times New Roman"/>
          <w:szCs w:val="21"/>
        </w:rPr>
        <w:t>相当</w:t>
      </w:r>
      <w:r>
        <w:rPr>
          <w:rFonts w:ascii="Times New Roman" w:eastAsia="华文中宋" w:hAnsi="Times New Roman"/>
          <w:szCs w:val="21"/>
        </w:rPr>
        <w:t>)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1A8F35AB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34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分）设</w:t>
      </w:r>
      <w:r>
        <w:rPr>
          <w:rFonts w:ascii="Times New Roman" w:eastAsia="华文中宋" w:hAnsi="Times New Roman"/>
          <w:szCs w:val="21"/>
        </w:rPr>
        <w:t>A/a</w:t>
      </w:r>
      <w:r>
        <w:rPr>
          <w:rFonts w:ascii="Times New Roman" w:eastAsia="华文中宋" w:hAnsi="Times New Roman"/>
          <w:szCs w:val="21"/>
        </w:rPr>
        <w:t>为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相关基因，则</w:t>
      </w:r>
      <w:r>
        <w:rPr>
          <w:rFonts w:ascii="Times New Roman" w:eastAsia="华文中宋" w:hAnsi="Times New Roman"/>
          <w:szCs w:val="21"/>
        </w:rPr>
        <w:t>IV-II</w:t>
      </w:r>
      <w:r>
        <w:rPr>
          <w:rFonts w:ascii="Times New Roman" w:eastAsia="华文中宋" w:hAnsi="Times New Roman"/>
          <w:szCs w:val="21"/>
        </w:rPr>
        <w:t>的基因型为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E173C6" w14:paraId="030AAEC0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35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分）为避免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患儿出生，</w:t>
      </w:r>
      <w:r>
        <w:rPr>
          <w:rFonts w:ascii="Times New Roman" w:eastAsia="华文中宋" w:hAnsi="Times New Roman"/>
          <w:szCs w:val="21"/>
        </w:rPr>
        <w:t>III-9</w:t>
      </w:r>
      <w:r>
        <w:rPr>
          <w:rFonts w:ascii="Times New Roman" w:eastAsia="华文中宋" w:hAnsi="Times New Roman"/>
          <w:szCs w:val="21"/>
        </w:rPr>
        <w:t>夫妇欲采用辅助生殖技术生育二胎，在体外受精后排除了携带致病基因的胚胎，在胚胎植入子宫前需实施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4BDEB61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36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分）</w:t>
      </w:r>
      <w:r>
        <w:rPr>
          <w:rFonts w:ascii="Times New Roman" w:eastAsia="华文中宋" w:hAnsi="Times New Roman"/>
          <w:szCs w:val="21"/>
        </w:rPr>
        <w:t>III-7</w:t>
      </w:r>
      <w:r>
        <w:rPr>
          <w:rFonts w:ascii="Times New Roman" w:eastAsia="华文中宋" w:hAnsi="Times New Roman"/>
          <w:szCs w:val="21"/>
        </w:rPr>
        <w:t>生育的第三胎男孩出乎意外患有该病（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），下列对该男孩及其</w:t>
      </w:r>
      <w:r>
        <w:rPr>
          <w:rFonts w:ascii="Times New Roman" w:eastAsia="华文中宋" w:hAnsi="Times New Roman"/>
          <w:szCs w:val="21"/>
        </w:rPr>
        <w:t>家系的推测中正确的是</w:t>
      </w:r>
      <w:r>
        <w:rPr>
          <w:rFonts w:ascii="Times New Roman" w:eastAsia="华文中宋" w:hAnsi="Times New Roman"/>
          <w:szCs w:val="21"/>
        </w:rPr>
        <w:t>_________________ (</w:t>
      </w:r>
      <w:r>
        <w:rPr>
          <w:rFonts w:ascii="Times New Roman" w:eastAsia="华文中宋" w:hAnsi="Times New Roman"/>
          <w:szCs w:val="21"/>
        </w:rPr>
        <w:t>多选）</w:t>
      </w:r>
    </w:p>
    <w:p w:rsidR="00E173C6" w14:paraId="39FD89D9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A. </w:t>
      </w:r>
      <w:r>
        <w:rPr>
          <w:rFonts w:ascii="Times New Roman" w:eastAsia="华文中宋" w:hAnsi="Times New Roman"/>
          <w:szCs w:val="21"/>
        </w:rPr>
        <w:t>正常情况下，</w:t>
      </w:r>
      <w:r>
        <w:rPr>
          <w:rFonts w:ascii="Times New Roman" w:eastAsia="华文中宋" w:hAnsi="Times New Roman"/>
          <w:szCs w:val="21"/>
        </w:rPr>
        <w:t>III-7</w:t>
      </w:r>
      <w:r>
        <w:rPr>
          <w:rFonts w:ascii="Times New Roman" w:eastAsia="华文中宋" w:hAnsi="Times New Roman"/>
          <w:szCs w:val="21"/>
        </w:rPr>
        <w:t>与</w:t>
      </w:r>
      <w:r>
        <w:rPr>
          <w:rFonts w:ascii="Times New Roman" w:eastAsia="华文中宋" w:hAnsi="Times New Roman"/>
          <w:szCs w:val="21"/>
        </w:rPr>
        <w:t>III-8</w:t>
      </w:r>
      <w:r>
        <w:rPr>
          <w:rFonts w:ascii="Times New Roman" w:eastAsia="华文中宋" w:hAnsi="Times New Roman"/>
          <w:szCs w:val="21"/>
        </w:rPr>
        <w:t>所生子女患病得几率为零</w:t>
      </w:r>
    </w:p>
    <w:p w:rsidR="00E173C6" w14:paraId="4E9E185B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B. III-8</w:t>
      </w:r>
      <w:r>
        <w:rPr>
          <w:rFonts w:ascii="Times New Roman" w:eastAsia="华文中宋" w:hAnsi="Times New Roman"/>
          <w:szCs w:val="21"/>
        </w:rPr>
        <w:t>将其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致病基因遗传给了这个男孩</w:t>
      </w:r>
    </w:p>
    <w:p w:rsidR="00E173C6" w14:paraId="221942B0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 xml:space="preserve">C. </w:t>
      </w:r>
      <w:r>
        <w:rPr>
          <w:rFonts w:ascii="Times New Roman" w:eastAsia="华文中宋" w:hAnsi="Times New Roman"/>
          <w:szCs w:val="21"/>
        </w:rPr>
        <w:t>该男孩的病因可能是自身体细胞发生了突变所致</w:t>
      </w:r>
    </w:p>
    <w:p w:rsidR="00E173C6" w14:paraId="3E20156E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420" w:firstLineChars="20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D. III-7</w:t>
      </w:r>
      <w:r>
        <w:rPr>
          <w:rFonts w:ascii="Times New Roman" w:eastAsia="华文中宋" w:hAnsi="Times New Roman"/>
          <w:szCs w:val="21"/>
        </w:rPr>
        <w:t>的卵子形成过程中发生了基因突变，产生了</w:t>
      </w:r>
      <w:r>
        <w:rPr>
          <w:rFonts w:ascii="Times New Roman" w:eastAsia="华文中宋" w:hAnsi="Times New Roman"/>
          <w:szCs w:val="21"/>
        </w:rPr>
        <w:t>ALD</w:t>
      </w:r>
      <w:r>
        <w:rPr>
          <w:rFonts w:ascii="Times New Roman" w:eastAsia="华文中宋" w:hAnsi="Times New Roman"/>
          <w:szCs w:val="21"/>
        </w:rPr>
        <w:t>致病基因</w:t>
      </w:r>
    </w:p>
    <w:p w:rsidR="00E173C6" w14:paraId="6FE2FF57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</w:p>
    <w:p w:rsidR="00E173C6" w14:paraId="726A9966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b/>
          <w:szCs w:val="21"/>
        </w:rPr>
        <w:t>(</w:t>
      </w:r>
      <w:r>
        <w:rPr>
          <w:rFonts w:ascii="Times New Roman" w:eastAsia="华文中宋" w:hAnsi="Times New Roman"/>
          <w:b/>
          <w:szCs w:val="21"/>
        </w:rPr>
        <w:t>四）生物技术及生命科学的应用（</w:t>
      </w:r>
      <w:r>
        <w:rPr>
          <w:rFonts w:ascii="Times New Roman" w:eastAsia="华文中宋" w:hAnsi="Times New Roman"/>
          <w:b/>
          <w:szCs w:val="21"/>
        </w:rPr>
        <w:t>10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E173C6" w14:paraId="7E8BD45D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解脂芽孢杆菌产多种脂肪酶，后者广泛用于日用化工和食品工业，因此利用生物技术规模化生产脂肪酶有重要意义。图</w:t>
      </w:r>
      <w:r>
        <w:rPr>
          <w:rFonts w:ascii="Times New Roman" w:eastAsia="华文中宋" w:hAnsi="Times New Roman"/>
          <w:szCs w:val="21"/>
        </w:rPr>
        <w:t>17</w:t>
      </w:r>
      <w:r>
        <w:rPr>
          <w:rFonts w:ascii="Times New Roman" w:eastAsia="华文中宋" w:hAnsi="Times New Roman"/>
          <w:szCs w:val="21"/>
        </w:rPr>
        <w:t>为解脂芽孢杆菌拟核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中某分泌型脂肪酶编码基因</w:t>
      </w:r>
      <w:r>
        <w:rPr>
          <w:rFonts w:ascii="Times New Roman" w:eastAsia="华文中宋" w:hAnsi="Times New Roman"/>
          <w:szCs w:val="21"/>
        </w:rPr>
        <w:t xml:space="preserve"> (LP</w:t>
      </w:r>
      <w:r>
        <w:rPr>
          <w:rFonts w:ascii="Times New Roman" w:eastAsia="华文中宋" w:hAnsi="Times New Roman"/>
          <w:szCs w:val="21"/>
        </w:rPr>
        <w:t>)</w:t>
      </w:r>
      <w:r>
        <w:rPr>
          <w:rFonts w:ascii="Times New Roman" w:eastAsia="华文中宋" w:hAnsi="Times New Roman"/>
          <w:szCs w:val="21"/>
        </w:rPr>
        <w:t>的定位及所用质粒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的有关信息，图中</w:t>
      </w:r>
      <w:r>
        <w:rPr>
          <w:rFonts w:ascii="Times New Roman" w:eastAsia="华文中宋" w:hAnsi="Times New Roman"/>
          <w:szCs w:val="21"/>
        </w:rPr>
        <w:t>BamH1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EcoR1</w:t>
      </w:r>
      <w:r>
        <w:rPr>
          <w:rFonts w:ascii="Times New Roman" w:eastAsia="华文中宋" w:hAnsi="Times New Roman"/>
          <w:szCs w:val="21"/>
        </w:rPr>
        <w:t>、</w:t>
      </w:r>
      <w:r>
        <w:rPr>
          <w:rFonts w:ascii="Times New Roman" w:eastAsia="华文中宋" w:hAnsi="Times New Roman"/>
          <w:szCs w:val="21"/>
        </w:rPr>
        <w:t>Mbo1</w:t>
      </w:r>
      <w:r>
        <w:rPr>
          <w:rFonts w:ascii="Times New Roman" w:eastAsia="华文中宋" w:hAnsi="Times New Roman"/>
          <w:szCs w:val="21"/>
        </w:rPr>
        <w:t>均为限制酶。图</w:t>
      </w:r>
      <w:r>
        <w:rPr>
          <w:rFonts w:ascii="Times New Roman" w:eastAsia="华文中宋" w:hAnsi="Times New Roman"/>
          <w:szCs w:val="21"/>
        </w:rPr>
        <w:t>18</w:t>
      </w:r>
      <w:r>
        <w:rPr>
          <w:rFonts w:ascii="Times New Roman" w:eastAsia="华文中宋" w:hAnsi="Times New Roman"/>
          <w:szCs w:val="21"/>
        </w:rPr>
        <w:t>为固定化与非固定化脂肪酶的相对酶活性与温度的关系。</w:t>
      </w:r>
    </w:p>
    <w:p w:rsidR="00E173C6" w14:paraId="555EECCB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5274310" cy="246634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35AF0F1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37.  (4</w:t>
      </w:r>
      <w:r>
        <w:rPr>
          <w:rFonts w:ascii="Times New Roman" w:eastAsia="华文中宋" w:hAnsi="Times New Roman"/>
          <w:szCs w:val="21"/>
        </w:rPr>
        <w:t>分）基于上述信息，该项基因工程的目的基因是</w:t>
      </w:r>
      <w:r>
        <w:rPr>
          <w:rFonts w:ascii="Times New Roman" w:eastAsia="华文中宋" w:hAnsi="Times New Roman"/>
          <w:szCs w:val="21"/>
        </w:rPr>
        <w:t>_____________</w:t>
      </w:r>
      <w:r>
        <w:rPr>
          <w:rFonts w:ascii="Times New Roman" w:eastAsia="华文中宋" w:hAnsi="Times New Roman"/>
          <w:szCs w:val="21"/>
        </w:rPr>
        <w:t>。为了与质粒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合理重组，解脂芽孢杆菌拟核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和质粒</w:t>
      </w:r>
      <w:r>
        <w:rPr>
          <w:rFonts w:ascii="Times New Roman" w:eastAsia="华文中宋" w:hAnsi="Times New Roman"/>
          <w:szCs w:val="21"/>
        </w:rPr>
        <w:t>DNA</w:t>
      </w:r>
      <w:r>
        <w:rPr>
          <w:rFonts w:ascii="Times New Roman" w:eastAsia="华文中宋" w:hAnsi="Times New Roman"/>
          <w:szCs w:val="21"/>
        </w:rPr>
        <w:t>均应用限制酶</w:t>
      </w:r>
      <w:r>
        <w:rPr>
          <w:rFonts w:ascii="Times New Roman" w:eastAsia="华文中宋" w:hAnsi="Times New Roman"/>
          <w:szCs w:val="21"/>
        </w:rPr>
        <w:t>______________</w:t>
      </w:r>
      <w:r>
        <w:rPr>
          <w:rFonts w:ascii="Times New Roman" w:eastAsia="华文中宋" w:hAnsi="Times New Roman"/>
          <w:szCs w:val="21"/>
        </w:rPr>
        <w:t>切割。</w:t>
      </w:r>
    </w:p>
    <w:p w:rsidR="00E173C6" w14:paraId="17E211E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38.  (2</w:t>
      </w:r>
      <w:r>
        <w:rPr>
          <w:rFonts w:ascii="Times New Roman" w:eastAsia="华文中宋" w:hAnsi="Times New Roman"/>
          <w:szCs w:val="21"/>
        </w:rPr>
        <w:t>分）由上述基因工程改造过的细菌规模化生产并提纯分泌型脂肪酶，需要加入硫酸铵使酶蛋白与其他杂质分离，这属于酶分离提纯步骤中的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 w:hint="eastAsia"/>
          <w:szCs w:val="21"/>
        </w:rPr>
        <w:t>。</w:t>
      </w:r>
    </w:p>
    <w:p w:rsidR="00E173C6" w14:paraId="56D4FDF7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39.  (4</w:t>
      </w:r>
      <w:r>
        <w:rPr>
          <w:rFonts w:ascii="Times New Roman" w:eastAsia="华文中宋" w:hAnsi="Times New Roman"/>
          <w:szCs w:val="21"/>
        </w:rPr>
        <w:t>分）为了便于重复使用，上述制得的脂肪酶往往要固定化。比较图</w:t>
      </w:r>
      <w:r>
        <w:rPr>
          <w:rFonts w:ascii="Times New Roman" w:eastAsia="华文中宋" w:hAnsi="Times New Roman"/>
          <w:szCs w:val="21"/>
        </w:rPr>
        <w:t>18</w:t>
      </w:r>
      <w:r>
        <w:rPr>
          <w:rFonts w:ascii="Times New Roman" w:eastAsia="华文中宋" w:hAnsi="Times New Roman"/>
          <w:szCs w:val="21"/>
        </w:rPr>
        <w:t>的两条曲线，写出固定化酶的优势是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，劣势是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441FD807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</w:p>
    <w:p w:rsidR="00E173C6" w14:paraId="14AF629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b/>
          <w:szCs w:val="21"/>
        </w:rPr>
      </w:pPr>
      <w:r>
        <w:rPr>
          <w:rFonts w:ascii="Times New Roman" w:eastAsia="华文中宋" w:hAnsi="Times New Roman"/>
          <w:b/>
          <w:szCs w:val="21"/>
        </w:rPr>
        <w:t>(</w:t>
      </w:r>
      <w:r>
        <w:rPr>
          <w:rFonts w:ascii="Times New Roman" w:eastAsia="华文中宋" w:hAnsi="Times New Roman"/>
          <w:b/>
          <w:szCs w:val="21"/>
        </w:rPr>
        <w:t>五）光合作用（</w:t>
      </w:r>
      <w:r>
        <w:rPr>
          <w:rFonts w:ascii="Times New Roman" w:eastAsia="华文中宋" w:hAnsi="Times New Roman"/>
          <w:b/>
          <w:szCs w:val="21"/>
        </w:rPr>
        <w:t>14</w:t>
      </w:r>
      <w:r>
        <w:rPr>
          <w:rFonts w:ascii="Times New Roman" w:eastAsia="华文中宋" w:hAnsi="Times New Roman"/>
          <w:b/>
          <w:szCs w:val="21"/>
        </w:rPr>
        <w:t>分）</w:t>
      </w:r>
    </w:p>
    <w:p w:rsidR="00E173C6" w14:paraId="2765A008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光合作用是自然界最为重要的化学反应，其过程如图</w:t>
      </w:r>
      <w:r>
        <w:rPr>
          <w:rFonts w:ascii="Times New Roman" w:eastAsia="华文中宋" w:hAnsi="Times New Roman"/>
          <w:szCs w:val="21"/>
        </w:rPr>
        <w:t>19</w:t>
      </w:r>
      <w:r>
        <w:rPr>
          <w:rFonts w:ascii="Times New Roman" w:eastAsia="华文中宋" w:hAnsi="Times New Roman"/>
          <w:szCs w:val="21"/>
        </w:rPr>
        <w:t>所示。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科研人员以甜瓜为对象，研究温度和</w:t>
      </w:r>
      <w:r>
        <w:rPr>
          <w:rFonts w:ascii="Times New Roman" w:eastAsia="华文中宋" w:hAnsi="Times New Roman"/>
          <w:szCs w:val="21"/>
        </w:rPr>
        <w:t>CO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浓度对甜瓜光合速率（即光合作用合成有机物的速率减去呼吸作用消耗有机物的速率）的影响，结果如图</w:t>
      </w:r>
      <w:r>
        <w:rPr>
          <w:rFonts w:ascii="Times New Roman" w:eastAsia="华文中宋" w:hAnsi="Times New Roman"/>
          <w:szCs w:val="21"/>
        </w:rPr>
        <w:t>20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00B92BB3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center"/>
        <w:textAlignment w:val="center"/>
        <w:rPr>
          <w:rFonts w:ascii="Times New Roman" w:eastAsia="华文中宋" w:hAnsi="Times New Roman"/>
          <w:szCs w:val="21"/>
        </w:rPr>
      </w:pPr>
      <w:r>
        <w:rPr>
          <w:noProof/>
        </w:rPr>
        <w:drawing>
          <wp:inline distT="0" distB="0" distL="0" distR="0">
            <wp:extent cx="5074920" cy="225552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C6" w14:paraId="5ACE2ED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40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4</w:t>
      </w:r>
      <w:r>
        <w:rPr>
          <w:rFonts w:ascii="Times New Roman" w:eastAsia="华文中宋" w:hAnsi="Times New Roman"/>
          <w:szCs w:val="21"/>
        </w:rPr>
        <w:t>分）图</w:t>
      </w:r>
      <w:r>
        <w:rPr>
          <w:rFonts w:ascii="Times New Roman" w:eastAsia="华文中宋" w:hAnsi="Times New Roman"/>
          <w:szCs w:val="21"/>
        </w:rPr>
        <w:t>19</w:t>
      </w:r>
      <w:r>
        <w:rPr>
          <w:rFonts w:ascii="Times New Roman" w:eastAsia="华文中宋" w:hAnsi="Times New Roman"/>
          <w:szCs w:val="21"/>
        </w:rPr>
        <w:t>中反应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进行的场所是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，外界</w:t>
      </w:r>
      <w:r>
        <w:rPr>
          <w:rFonts w:ascii="Times New Roman" w:eastAsia="华文中宋" w:hAnsi="Times New Roman"/>
          <w:szCs w:val="21"/>
        </w:rPr>
        <w:t>CO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主要通过影响反应</w:t>
      </w:r>
      <w:r>
        <w:rPr>
          <w:rFonts w:ascii="Times New Roman" w:eastAsia="华文中宋" w:hAnsi="Times New Roman"/>
          <w:szCs w:val="21"/>
        </w:rPr>
        <w:t>_________________ (</w: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eastAsia="华文中宋" w:hAnsi="Times New Roman"/>
          <w:szCs w:val="21"/>
        </w:rPr>
        <w:t>/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eastAsia="华文中宋" w:hAnsi="Times New Roman" w:hint="eastAsia"/>
          <w:szCs w:val="21"/>
        </w:rPr>
        <w:t>)</w:t>
      </w:r>
      <w:r>
        <w:rPr>
          <w:rFonts w:ascii="Times New Roman" w:eastAsia="华文中宋" w:hAnsi="Times New Roman"/>
          <w:szCs w:val="21"/>
        </w:rPr>
        <w:t xml:space="preserve"> </w:t>
      </w:r>
      <w:r>
        <w:rPr>
          <w:rFonts w:ascii="Times New Roman" w:eastAsia="华文中宋" w:hAnsi="Times New Roman"/>
          <w:szCs w:val="21"/>
        </w:rPr>
        <w:t>影响光合速率。光合速率可以用图</w:t>
      </w:r>
      <w:r>
        <w:rPr>
          <w:rFonts w:ascii="Times New Roman" w:eastAsia="华文中宋" w:hAnsi="Times New Roman"/>
          <w:szCs w:val="21"/>
        </w:rPr>
        <w:t>19</w:t>
      </w:r>
      <w:r>
        <w:rPr>
          <w:rFonts w:ascii="Times New Roman" w:eastAsia="华文中宋" w:hAnsi="Times New Roman"/>
          <w:szCs w:val="21"/>
        </w:rPr>
        <w:t>中的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释放量或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Times New Roman" w:eastAsia="华文中宋" w:hAnsi="Times New Roman"/>
          <w:szCs w:val="21"/>
        </w:rPr>
        <w:t>吸收量</w:t>
      </w:r>
      <w:r>
        <w:rPr>
          <w:rFonts w:ascii="Times New Roman" w:eastAsia="华文中宋" w:hAnsi="Times New Roman" w:hint="eastAsia"/>
          <w:szCs w:val="21"/>
        </w:rPr>
        <w:t>来</w:t>
      </w:r>
      <w:r>
        <w:rPr>
          <w:rFonts w:ascii="Times New Roman" w:eastAsia="华文中宋" w:hAnsi="Times New Roman"/>
          <w:szCs w:val="21"/>
        </w:rPr>
        <w:t>衡量。</w:t>
      </w:r>
    </w:p>
    <w:p w:rsidR="00E173C6" w14:paraId="32E8E75F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41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2</w:t>
      </w:r>
      <w:r>
        <w:rPr>
          <w:rFonts w:ascii="Times New Roman" w:eastAsia="华文中宋" w:hAnsi="Times New Roman"/>
          <w:szCs w:val="21"/>
        </w:rPr>
        <w:t>分）据图</w:t>
      </w:r>
      <w:r>
        <w:rPr>
          <w:rFonts w:ascii="Times New Roman" w:eastAsia="华文中宋" w:hAnsi="Times New Roman"/>
          <w:szCs w:val="21"/>
        </w:rPr>
        <w:t>20</w:t>
      </w:r>
      <w:r>
        <w:rPr>
          <w:rFonts w:ascii="Times New Roman" w:eastAsia="华文中宋" w:hAnsi="Times New Roman"/>
          <w:szCs w:val="21"/>
        </w:rPr>
        <w:t>分析，甜瓜光合速率并不与环境</w:t>
      </w:r>
      <w:r>
        <w:rPr>
          <w:rFonts w:ascii="Times New Roman" w:eastAsia="华文中宋" w:hAnsi="Times New Roman" w:hint="eastAsia"/>
          <w:szCs w:val="21"/>
        </w:rPr>
        <w:t>温</w:t>
      </w:r>
      <w:r>
        <w:rPr>
          <w:rFonts w:ascii="Times New Roman" w:eastAsia="华文中宋" w:hAnsi="Times New Roman"/>
          <w:szCs w:val="21"/>
        </w:rPr>
        <w:t>度始终正相关，做出分析的依据是：在温度高于</w:t>
      </w:r>
      <w:r>
        <w:rPr>
          <w:rFonts w:ascii="Times New Roman" w:eastAsia="华文中宋" w:hAnsi="Times New Roman"/>
          <w:szCs w:val="21"/>
        </w:rPr>
        <w:t>_________________</w:t>
      </w:r>
      <w:r>
        <w:rPr>
          <w:rFonts w:ascii="宋体" w:hAnsi="宋体" w:cs="宋体" w:hint="eastAsia"/>
          <w:szCs w:val="21"/>
        </w:rPr>
        <w:t>℃</w:t>
      </w:r>
      <w:r>
        <w:rPr>
          <w:rFonts w:ascii="Times New Roman" w:eastAsia="华文中宋" w:hAnsi="Times New Roman"/>
          <w:szCs w:val="21"/>
        </w:rPr>
        <w:t>后，甜瓜光合速率开始下降。</w:t>
      </w:r>
    </w:p>
    <w:p w:rsidR="00E173C6" w14:paraId="2C00FBF5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42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3</w:t>
      </w:r>
      <w:r>
        <w:rPr>
          <w:rFonts w:ascii="Times New Roman" w:eastAsia="华文中宋" w:hAnsi="Times New Roman"/>
          <w:szCs w:val="21"/>
        </w:rPr>
        <w:t>分</w:t>
      </w:r>
      <w:r>
        <w:rPr>
          <w:rFonts w:ascii="Times New Roman" w:eastAsia="华文中宋" w:hAnsi="Times New Roman" w:hint="eastAsia"/>
          <w:szCs w:val="21"/>
        </w:rPr>
        <w:t>）</w:t>
      </w:r>
      <w:r>
        <w:rPr>
          <w:rFonts w:ascii="Times New Roman" w:eastAsia="华文中宋" w:hAnsi="Times New Roman"/>
          <w:szCs w:val="21"/>
        </w:rPr>
        <w:t>一般而言，光合作用酶的最适温度比呼吸作用酶低。据此解释图</w:t>
      </w:r>
      <w:r>
        <w:rPr>
          <w:rFonts w:ascii="Times New Roman" w:eastAsia="华文中宋" w:hAnsi="Times New Roman"/>
          <w:szCs w:val="21"/>
        </w:rPr>
        <w:t>20</w:t>
      </w:r>
      <w:r>
        <w:rPr>
          <w:rFonts w:ascii="Times New Roman" w:eastAsia="华文中宋" w:hAnsi="Times New Roman"/>
          <w:szCs w:val="21"/>
        </w:rPr>
        <w:t>中</w:t>
      </w:r>
      <w:r>
        <w:rPr>
          <w:rFonts w:ascii="Times New Roman" w:eastAsia="华文中宋" w:hAnsi="Times New Roman"/>
          <w:szCs w:val="21"/>
        </w:rPr>
        <w:t xml:space="preserve"> 26</w:t>
      </w:r>
      <w:r>
        <w:rPr>
          <w:rFonts w:ascii="宋体" w:hAnsi="宋体" w:cs="宋体" w:hint="eastAsia"/>
          <w:szCs w:val="21"/>
        </w:rPr>
        <w:t>℃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CO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浓度为</w:t>
      </w:r>
      <w:r>
        <w:rPr>
          <w:rFonts w:ascii="Times New Roman" w:eastAsia="华文中宋" w:hAnsi="Times New Roman"/>
          <w:szCs w:val="21"/>
        </w:rPr>
        <w:t>1.</w:t>
      </w:r>
      <w:r>
        <w:rPr>
          <w:rFonts w:ascii="Times New Roman" w:eastAsia="华文中宋" w:hAnsi="Times New Roman"/>
          <w:szCs w:val="21"/>
        </w:rPr>
        <w:t>2-l.6mL/L</w:t>
      </w:r>
      <w:r>
        <w:rPr>
          <w:rFonts w:ascii="Times New Roman" w:eastAsia="华文中宋" w:hAnsi="Times New Roman"/>
          <w:szCs w:val="21"/>
        </w:rPr>
        <w:t>时，光合速率显著上升的原因：</w:t>
      </w:r>
    </w:p>
    <w:p w:rsidR="00E173C6" w14:paraId="3CCEB4AE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______________________________________________________________________________</w:t>
      </w:r>
    </w:p>
    <w:p w:rsidR="00E173C6" w14:paraId="60F64669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43</w:t>
      </w:r>
      <w:r>
        <w:rPr>
          <w:rFonts w:ascii="Times New Roman" w:eastAsia="华文中宋" w:hAnsi="Times New Roman"/>
          <w:szCs w:val="21"/>
        </w:rPr>
        <w:t>、（</w:t>
      </w:r>
      <w:r>
        <w:rPr>
          <w:rFonts w:ascii="Times New Roman" w:eastAsia="华文中宋" w:hAnsi="Times New Roman"/>
          <w:szCs w:val="21"/>
        </w:rPr>
        <w:t>5</w:t>
      </w:r>
      <w:r>
        <w:rPr>
          <w:rFonts w:ascii="Times New Roman" w:eastAsia="华文中宋" w:hAnsi="Times New Roman"/>
          <w:szCs w:val="21"/>
        </w:rPr>
        <w:t>分）依据图</w:t>
      </w:r>
      <w:r>
        <w:rPr>
          <w:rFonts w:ascii="Times New Roman" w:eastAsia="华文中宋" w:hAnsi="Times New Roman"/>
          <w:szCs w:val="21"/>
        </w:rPr>
        <w:t>20</w:t>
      </w:r>
      <w:r>
        <w:rPr>
          <w:rFonts w:ascii="Times New Roman" w:eastAsia="华文中宋" w:hAnsi="Times New Roman"/>
          <w:szCs w:val="21"/>
        </w:rPr>
        <w:t>中的研究结果，有人提出两种可能得控制方案以提高甜瓜产量：</w:t>
      </w:r>
    </w:p>
    <w:p w:rsidR="00E173C6" w14:paraId="62F803C2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方案一：</w:t>
      </w:r>
      <w:r>
        <w:rPr>
          <w:rFonts w:ascii="Times New Roman" w:eastAsia="华文中宋" w:hAnsi="Times New Roman"/>
          <w:szCs w:val="21"/>
        </w:rPr>
        <w:t>CO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浓度设定为</w:t>
      </w:r>
      <w:r>
        <w:rPr>
          <w:rFonts w:ascii="Times New Roman" w:eastAsia="华文中宋" w:hAnsi="Times New Roman"/>
          <w:szCs w:val="21"/>
        </w:rPr>
        <w:t>1.4-1.6mL/L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温度设定为</w:t>
      </w:r>
      <w:r>
        <w:rPr>
          <w:rFonts w:ascii="Times New Roman" w:eastAsia="华文中宋" w:hAnsi="Times New Roman"/>
          <w:szCs w:val="21"/>
        </w:rPr>
        <w:t>30</w:t>
      </w:r>
      <w:r>
        <w:rPr>
          <w:rFonts w:ascii="宋体" w:hAnsi="宋体" w:cs="宋体" w:hint="eastAsia"/>
          <w:szCs w:val="21"/>
        </w:rPr>
        <w:t>℃</w:t>
      </w:r>
      <w:r>
        <w:rPr>
          <w:rFonts w:ascii="Times New Roman" w:eastAsia="华文中宋" w:hAnsi="Times New Roman" w:hint="eastAsia"/>
          <w:szCs w:val="21"/>
        </w:rPr>
        <w:t>；</w:t>
      </w:r>
    </w:p>
    <w:p w:rsidR="00E173C6" w14:paraId="5FB50C9B" w14:textId="77777777">
      <w:pPr>
        <w:tabs>
          <w:tab w:val="left" w:pos="2439"/>
          <w:tab w:val="left" w:pos="4335"/>
          <w:tab w:val="left" w:pos="6339"/>
        </w:tabs>
        <w:spacing w:line="360" w:lineRule="auto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方案二：</w:t>
      </w:r>
      <w:r>
        <w:rPr>
          <w:rFonts w:ascii="Times New Roman" w:eastAsia="华文中宋" w:hAnsi="Times New Roman"/>
          <w:szCs w:val="21"/>
        </w:rPr>
        <w:t>CO</w:t>
      </w:r>
      <w:r>
        <w:rPr>
          <w:rFonts w:ascii="Times New Roman" w:eastAsia="华文中宋" w:hAnsi="Times New Roman"/>
          <w:szCs w:val="21"/>
          <w:vertAlign w:val="subscript"/>
        </w:rPr>
        <w:t>2</w:t>
      </w:r>
      <w:r>
        <w:rPr>
          <w:rFonts w:ascii="Times New Roman" w:eastAsia="华文中宋" w:hAnsi="Times New Roman"/>
          <w:szCs w:val="21"/>
        </w:rPr>
        <w:t>浓度设定为大于</w:t>
      </w:r>
      <w:r>
        <w:rPr>
          <w:rFonts w:ascii="Times New Roman" w:eastAsia="华文中宋" w:hAnsi="Times New Roman"/>
          <w:szCs w:val="21"/>
        </w:rPr>
        <w:t>1.6mL/L</w:t>
      </w:r>
      <w:r>
        <w:rPr>
          <w:rFonts w:ascii="Times New Roman" w:eastAsia="华文中宋" w:hAnsi="Times New Roman" w:hint="eastAsia"/>
          <w:szCs w:val="21"/>
        </w:rPr>
        <w:t>，</w:t>
      </w:r>
      <w:r>
        <w:rPr>
          <w:rFonts w:ascii="Times New Roman" w:eastAsia="华文中宋" w:hAnsi="Times New Roman"/>
          <w:szCs w:val="21"/>
        </w:rPr>
        <w:t>温度设定为</w:t>
      </w:r>
      <w:r>
        <w:rPr>
          <w:rFonts w:ascii="Times New Roman" w:eastAsia="华文中宋" w:hAnsi="Times New Roman"/>
          <w:szCs w:val="21"/>
        </w:rPr>
        <w:t>26</w:t>
      </w:r>
      <w:r>
        <w:rPr>
          <w:rFonts w:ascii="宋体" w:hAnsi="宋体" w:cs="宋体" w:hint="eastAsia"/>
          <w:szCs w:val="21"/>
        </w:rPr>
        <w:t>℃</w:t>
      </w:r>
      <w:r>
        <w:rPr>
          <w:rFonts w:ascii="Times New Roman" w:eastAsia="华文中宋" w:hAnsi="Times New Roman"/>
          <w:szCs w:val="21"/>
        </w:rPr>
        <w:t>。</w:t>
      </w:r>
    </w:p>
    <w:p w:rsidR="00E173C6" w14:paraId="3FB17C10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写出这两种方案各自的合理和局限之处：</w:t>
      </w:r>
    </w:p>
    <w:p w:rsidR="00E173C6" w14:paraId="16F13EEB" w14:textId="285CF754">
      <w:pPr>
        <w:widowControl/>
        <w:spacing w:line="360" w:lineRule="auto"/>
        <w:jc w:val="lef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___________________________</w:t>
      </w:r>
      <w:r>
        <w:rPr>
          <w:rFonts w:ascii="Times New Roman" w:eastAsia="华文中宋" w:hAnsi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华文中宋" w:hAnsi="Times New Roman"/>
          <w:szCs w:val="21"/>
        </w:rPr>
        <w:t>____________________________________________________________________________________________________________</w:t>
      </w:r>
      <w:r>
        <w:rPr>
          <w:rFonts w:ascii="Times New Roman" w:eastAsia="华文中宋" w:hAnsi="Times New Roman"/>
          <w:szCs w:val="21"/>
        </w:rPr>
        <w:br w:type="page"/>
        <w:t xml:space="preserve"> </w:t>
      </w:r>
    </w:p>
    <w:p w:rsidR="00E173C6" w14:paraId="40076D53" w14:textId="77777777">
      <w:pPr>
        <w:tabs>
          <w:tab w:val="left" w:pos="2439"/>
          <w:tab w:val="left" w:pos="4335"/>
          <w:tab w:val="left" w:pos="6339"/>
        </w:tabs>
        <w:spacing w:line="360" w:lineRule="auto"/>
        <w:ind w:firstLine="315" w:firstLineChars="150"/>
        <w:jc w:val="left"/>
        <w:textAlignment w:val="center"/>
        <w:rPr>
          <w:rFonts w:ascii="Times New Roman" w:eastAsia="华文中宋" w:hAnsi="Times New Roman"/>
          <w:szCs w:val="21"/>
        </w:rPr>
      </w:pPr>
    </w:p>
    <w:sectPr>
      <w:footerReference w:type="default" r:id="rId24"/>
      <w:pgSz w:w="11906" w:h="16838"/>
      <w:pgMar w:top="1440" w:right="1800" w:bottom="1440" w:left="1800" w:header="851" w:footer="850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19D"/>
    <w:rsid w:val="00013DE6"/>
    <w:rsid w:val="00025C19"/>
    <w:rsid w:val="0003474F"/>
    <w:rsid w:val="00051958"/>
    <w:rsid w:val="00057610"/>
    <w:rsid w:val="00067F07"/>
    <w:rsid w:val="000745F6"/>
    <w:rsid w:val="000750B7"/>
    <w:rsid w:val="000A0957"/>
    <w:rsid w:val="000A0C89"/>
    <w:rsid w:val="000A55A4"/>
    <w:rsid w:val="000B750F"/>
    <w:rsid w:val="000C0A79"/>
    <w:rsid w:val="000D2C72"/>
    <w:rsid w:val="000E4C18"/>
    <w:rsid w:val="000E4D8C"/>
    <w:rsid w:val="000F1719"/>
    <w:rsid w:val="001141CC"/>
    <w:rsid w:val="00114C51"/>
    <w:rsid w:val="00121791"/>
    <w:rsid w:val="00136D4B"/>
    <w:rsid w:val="00140A93"/>
    <w:rsid w:val="001501FE"/>
    <w:rsid w:val="00151A4B"/>
    <w:rsid w:val="00181F28"/>
    <w:rsid w:val="00195103"/>
    <w:rsid w:val="001B14FB"/>
    <w:rsid w:val="001B36D3"/>
    <w:rsid w:val="001D1CF8"/>
    <w:rsid w:val="001D6B99"/>
    <w:rsid w:val="00226CD9"/>
    <w:rsid w:val="0022794C"/>
    <w:rsid w:val="0023140B"/>
    <w:rsid w:val="00237393"/>
    <w:rsid w:val="002417A2"/>
    <w:rsid w:val="00250342"/>
    <w:rsid w:val="0025306E"/>
    <w:rsid w:val="002542CE"/>
    <w:rsid w:val="00257401"/>
    <w:rsid w:val="00264A23"/>
    <w:rsid w:val="002726AC"/>
    <w:rsid w:val="00291EBF"/>
    <w:rsid w:val="002A3069"/>
    <w:rsid w:val="002A6572"/>
    <w:rsid w:val="002B07D4"/>
    <w:rsid w:val="002B0ED9"/>
    <w:rsid w:val="002C35D4"/>
    <w:rsid w:val="002C5284"/>
    <w:rsid w:val="002E079D"/>
    <w:rsid w:val="00304F00"/>
    <w:rsid w:val="0032019D"/>
    <w:rsid w:val="00320ED8"/>
    <w:rsid w:val="00325A71"/>
    <w:rsid w:val="003271E2"/>
    <w:rsid w:val="003328F8"/>
    <w:rsid w:val="00346724"/>
    <w:rsid w:val="00352810"/>
    <w:rsid w:val="00371BAD"/>
    <w:rsid w:val="00372601"/>
    <w:rsid w:val="00377100"/>
    <w:rsid w:val="0038386A"/>
    <w:rsid w:val="003D3B7D"/>
    <w:rsid w:val="00404D12"/>
    <w:rsid w:val="00433DFB"/>
    <w:rsid w:val="004432BF"/>
    <w:rsid w:val="004537CF"/>
    <w:rsid w:val="00464104"/>
    <w:rsid w:val="00470B5A"/>
    <w:rsid w:val="004714A8"/>
    <w:rsid w:val="0047550D"/>
    <w:rsid w:val="00481D6A"/>
    <w:rsid w:val="004960B2"/>
    <w:rsid w:val="004969F2"/>
    <w:rsid w:val="004A5EEA"/>
    <w:rsid w:val="004B6588"/>
    <w:rsid w:val="004C3C27"/>
    <w:rsid w:val="004D0835"/>
    <w:rsid w:val="004E2E9F"/>
    <w:rsid w:val="004E5140"/>
    <w:rsid w:val="004E59F1"/>
    <w:rsid w:val="004F2730"/>
    <w:rsid w:val="00592125"/>
    <w:rsid w:val="005921A1"/>
    <w:rsid w:val="005B3E7F"/>
    <w:rsid w:val="005E314A"/>
    <w:rsid w:val="005F407C"/>
    <w:rsid w:val="00621151"/>
    <w:rsid w:val="006368CC"/>
    <w:rsid w:val="00654392"/>
    <w:rsid w:val="006711F3"/>
    <w:rsid w:val="006763F1"/>
    <w:rsid w:val="006842AF"/>
    <w:rsid w:val="006D384B"/>
    <w:rsid w:val="006D6C58"/>
    <w:rsid w:val="006E643A"/>
    <w:rsid w:val="007157D2"/>
    <w:rsid w:val="00740400"/>
    <w:rsid w:val="00750111"/>
    <w:rsid w:val="00767414"/>
    <w:rsid w:val="007737E2"/>
    <w:rsid w:val="00775042"/>
    <w:rsid w:val="007875EE"/>
    <w:rsid w:val="007B2DC2"/>
    <w:rsid w:val="007C2438"/>
    <w:rsid w:val="007E231B"/>
    <w:rsid w:val="007E6547"/>
    <w:rsid w:val="007F2FB1"/>
    <w:rsid w:val="007F49FE"/>
    <w:rsid w:val="008107AB"/>
    <w:rsid w:val="00830D4B"/>
    <w:rsid w:val="0083597B"/>
    <w:rsid w:val="008570F4"/>
    <w:rsid w:val="00857F39"/>
    <w:rsid w:val="0086623A"/>
    <w:rsid w:val="00895016"/>
    <w:rsid w:val="008B0262"/>
    <w:rsid w:val="008D3983"/>
    <w:rsid w:val="008D5BEC"/>
    <w:rsid w:val="008D62CB"/>
    <w:rsid w:val="008E3AB9"/>
    <w:rsid w:val="00913CF9"/>
    <w:rsid w:val="00925E97"/>
    <w:rsid w:val="00932677"/>
    <w:rsid w:val="009602AD"/>
    <w:rsid w:val="0096719D"/>
    <w:rsid w:val="00982046"/>
    <w:rsid w:val="009913D8"/>
    <w:rsid w:val="009A16C7"/>
    <w:rsid w:val="009A5DEE"/>
    <w:rsid w:val="009B0EBA"/>
    <w:rsid w:val="009B7AA5"/>
    <w:rsid w:val="009D5CAA"/>
    <w:rsid w:val="009E4A3D"/>
    <w:rsid w:val="009E6258"/>
    <w:rsid w:val="00A23197"/>
    <w:rsid w:val="00A71CE0"/>
    <w:rsid w:val="00A72B72"/>
    <w:rsid w:val="00A90152"/>
    <w:rsid w:val="00A9460F"/>
    <w:rsid w:val="00A97D08"/>
    <w:rsid w:val="00AA7F9D"/>
    <w:rsid w:val="00AB19CC"/>
    <w:rsid w:val="00AC0681"/>
    <w:rsid w:val="00AD7734"/>
    <w:rsid w:val="00AE75B8"/>
    <w:rsid w:val="00AF480C"/>
    <w:rsid w:val="00B4357C"/>
    <w:rsid w:val="00B543AD"/>
    <w:rsid w:val="00B664E2"/>
    <w:rsid w:val="00C07916"/>
    <w:rsid w:val="00C1793B"/>
    <w:rsid w:val="00C20E5E"/>
    <w:rsid w:val="00C34A78"/>
    <w:rsid w:val="00C5147E"/>
    <w:rsid w:val="00C52512"/>
    <w:rsid w:val="00C604B7"/>
    <w:rsid w:val="00C63D8D"/>
    <w:rsid w:val="00C734A7"/>
    <w:rsid w:val="00C8181B"/>
    <w:rsid w:val="00C8380D"/>
    <w:rsid w:val="00C934C7"/>
    <w:rsid w:val="00CA0D61"/>
    <w:rsid w:val="00CA1223"/>
    <w:rsid w:val="00CA2C36"/>
    <w:rsid w:val="00CA5740"/>
    <w:rsid w:val="00CC71C3"/>
    <w:rsid w:val="00CE410D"/>
    <w:rsid w:val="00D01AA6"/>
    <w:rsid w:val="00D17230"/>
    <w:rsid w:val="00D2523B"/>
    <w:rsid w:val="00D40AAF"/>
    <w:rsid w:val="00D41191"/>
    <w:rsid w:val="00D50CF6"/>
    <w:rsid w:val="00D51094"/>
    <w:rsid w:val="00D60198"/>
    <w:rsid w:val="00D643E8"/>
    <w:rsid w:val="00D81BFB"/>
    <w:rsid w:val="00D87E10"/>
    <w:rsid w:val="00D9280B"/>
    <w:rsid w:val="00DA47B6"/>
    <w:rsid w:val="00DC7F0D"/>
    <w:rsid w:val="00DD0BE4"/>
    <w:rsid w:val="00DE026E"/>
    <w:rsid w:val="00E1354B"/>
    <w:rsid w:val="00E173C6"/>
    <w:rsid w:val="00E22AC4"/>
    <w:rsid w:val="00E617AA"/>
    <w:rsid w:val="00E648B9"/>
    <w:rsid w:val="00E66BDC"/>
    <w:rsid w:val="00E7133A"/>
    <w:rsid w:val="00E77088"/>
    <w:rsid w:val="00E80DF0"/>
    <w:rsid w:val="00E84395"/>
    <w:rsid w:val="00EA443B"/>
    <w:rsid w:val="00EB06B5"/>
    <w:rsid w:val="00EC1EDE"/>
    <w:rsid w:val="00EC242C"/>
    <w:rsid w:val="00EF3B41"/>
    <w:rsid w:val="00EF748F"/>
    <w:rsid w:val="00F07B78"/>
    <w:rsid w:val="00F149CE"/>
    <w:rsid w:val="00F15A3B"/>
    <w:rsid w:val="00F234BC"/>
    <w:rsid w:val="00F27C70"/>
    <w:rsid w:val="00F36053"/>
    <w:rsid w:val="00FA27C9"/>
    <w:rsid w:val="00FA4EED"/>
    <w:rsid w:val="00FB4CAE"/>
    <w:rsid w:val="00FC0D71"/>
    <w:rsid w:val="00FC75F1"/>
    <w:rsid w:val="00FD003A"/>
    <w:rsid w:val="00FD0B49"/>
    <w:rsid w:val="08686251"/>
    <w:rsid w:val="0CEF1577"/>
    <w:rsid w:val="0E836292"/>
    <w:rsid w:val="0F5F0B86"/>
    <w:rsid w:val="104F30DC"/>
    <w:rsid w:val="10F1729E"/>
    <w:rsid w:val="119D353B"/>
    <w:rsid w:val="15EC165F"/>
    <w:rsid w:val="16DB1042"/>
    <w:rsid w:val="191E767F"/>
    <w:rsid w:val="1C954F55"/>
    <w:rsid w:val="1CE11D4F"/>
    <w:rsid w:val="1EBD5ADE"/>
    <w:rsid w:val="246151D3"/>
    <w:rsid w:val="2844196B"/>
    <w:rsid w:val="2F6342F5"/>
    <w:rsid w:val="309D6357"/>
    <w:rsid w:val="33FF0A9B"/>
    <w:rsid w:val="35FA1354"/>
    <w:rsid w:val="378A3BCF"/>
    <w:rsid w:val="3E0D0644"/>
    <w:rsid w:val="3EEB40F4"/>
    <w:rsid w:val="41433D66"/>
    <w:rsid w:val="4173447F"/>
    <w:rsid w:val="45715368"/>
    <w:rsid w:val="49052E78"/>
    <w:rsid w:val="4F7A3C76"/>
    <w:rsid w:val="50985068"/>
    <w:rsid w:val="526367FE"/>
    <w:rsid w:val="55054494"/>
    <w:rsid w:val="55C203FE"/>
    <w:rsid w:val="560062A6"/>
    <w:rsid w:val="5778784F"/>
    <w:rsid w:val="59840C5D"/>
    <w:rsid w:val="5FBE7CB8"/>
    <w:rsid w:val="60C26930"/>
    <w:rsid w:val="61BB3414"/>
    <w:rsid w:val="63C908D2"/>
    <w:rsid w:val="661E40B5"/>
    <w:rsid w:val="6A0D07CF"/>
    <w:rsid w:val="6BE450D4"/>
    <w:rsid w:val="6E2A0886"/>
    <w:rsid w:val="71135DE5"/>
    <w:rsid w:val="721D0059"/>
    <w:rsid w:val="74CE20C3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9FE0792"/>
  <w15:docId w15:val="{2BCC5E5F-6505-46E1-AA79-4722B835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link w:val="Header"/>
    <w:uiPriority w:val="99"/>
    <w:qFormat/>
    <w:rPr>
      <w:kern w:val="2"/>
      <w:sz w:val="18"/>
      <w:szCs w:val="24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