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4.1.0 -->
  <w:body>
    <w:p w:rsidR="00DB1B48" w:rsidP="00DB1B48" w14:paraId="6ECA87AF" w14:textId="77777777">
      <w:pPr>
        <w:spacing w:line="360" w:lineRule="auto"/>
        <w:jc w:val="center"/>
      </w:pPr>
      <w:r>
        <w:rPr>
          <w:rFonts w:ascii="Times New Roman" w:eastAsia="新宋体" w:hAnsi="Times New Roman"/>
          <w:b/>
          <w:sz w:val="30"/>
          <w:szCs w:val="30"/>
        </w:rPr>
        <w:t>2020</w:t>
      </w:r>
      <w:r>
        <w:rPr>
          <w:rFonts w:ascii="Times New Roman" w:eastAsia="新宋体" w:hAnsi="Times New Roman" w:hint="eastAsia"/>
          <w:b/>
          <w:sz w:val="30"/>
          <w:szCs w:val="30"/>
        </w:rPr>
        <w:t>年全国统一高考生物试卷（新课标Ⅰ）</w:t>
      </w:r>
    </w:p>
    <w:p w:rsidR="00DB1B48" w:rsidP="00DB1B48" w14:paraId="6AC436FD" w14:textId="77777777">
      <w:pPr>
        <w:spacing w:line="360" w:lineRule="auto"/>
      </w:pPr>
      <w:r>
        <w:rPr>
          <w:rFonts w:ascii="Times New Roman" w:eastAsia="新宋体" w:hAnsi="Times New Roman" w:hint="eastAsia"/>
          <w:b/>
          <w:szCs w:val="21"/>
        </w:rPr>
        <w:t>一、选择题：本题共</w:t>
      </w:r>
      <w:r>
        <w:rPr>
          <w:rFonts w:ascii="Times New Roman" w:eastAsia="新宋体" w:hAnsi="Times New Roman"/>
          <w:b/>
          <w:szCs w:val="21"/>
        </w:rPr>
        <w:t>6</w:t>
      </w:r>
      <w:r>
        <w:rPr>
          <w:rFonts w:ascii="Times New Roman" w:eastAsia="新宋体" w:hAnsi="Times New Roman" w:hint="eastAsia"/>
          <w:b/>
          <w:szCs w:val="21"/>
        </w:rPr>
        <w:t>小题，每小题</w:t>
      </w:r>
      <w:r>
        <w:rPr>
          <w:rFonts w:ascii="Times New Roman" w:eastAsia="新宋体" w:hAnsi="Times New Roman"/>
          <w:b/>
          <w:szCs w:val="21"/>
        </w:rPr>
        <w:t>6</w:t>
      </w:r>
      <w:r>
        <w:rPr>
          <w:rFonts w:ascii="Times New Roman" w:eastAsia="新宋体" w:hAnsi="Times New Roman" w:hint="eastAsia"/>
          <w:b/>
          <w:szCs w:val="21"/>
        </w:rPr>
        <w:t>分，共</w:t>
      </w:r>
      <w:r>
        <w:rPr>
          <w:rFonts w:ascii="Times New Roman" w:eastAsia="新宋体" w:hAnsi="Times New Roman"/>
          <w:b/>
          <w:szCs w:val="21"/>
        </w:rPr>
        <w:t>36</w:t>
      </w:r>
      <w:r>
        <w:rPr>
          <w:rFonts w:ascii="Times New Roman" w:eastAsia="新宋体" w:hAnsi="Times New Roman" w:hint="eastAsia"/>
          <w:b/>
          <w:szCs w:val="21"/>
        </w:rPr>
        <w:t>分。在每小题给出的四个选项中，只有一项是符合题目要求的。</w:t>
      </w:r>
    </w:p>
    <w:p w:rsidR="00DB1B48" w:rsidP="00DB1B48" w14:paraId="047E6FD7" w14:textId="77777777">
      <w:pPr>
        <w:spacing w:line="360" w:lineRule="auto"/>
        <w:ind w:left="273" w:hanging="273" w:hangingChars="130"/>
      </w:pPr>
      <w:r>
        <w:rPr>
          <w:rFonts w:ascii="Times New Roman" w:eastAsia="新宋体" w:hAnsi="Times New Roman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/>
          <w:szCs w:val="21"/>
        </w:rPr>
        <w:t>6</w:t>
      </w:r>
      <w:r>
        <w:rPr>
          <w:rFonts w:ascii="Times New Roman" w:eastAsia="新宋体" w:hAnsi="Times New Roman" w:hint="eastAsia"/>
          <w:szCs w:val="21"/>
        </w:rPr>
        <w:t>分）新冠肺炎疫情警示人们要养成良好的生活习惯，提高公共卫生安全意识。下列相关叙述错误的是（　　）</w:t>
      </w:r>
    </w:p>
    <w:p w:rsidR="00DB1B48" w:rsidP="00DB1B48" w14:paraId="01953C30" w14:textId="77777777"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．戴口罩可以减少病原微生物通过飞沫在人与人之间的传播</w:t>
      </w:r>
      <w:r>
        <w:tab/>
      </w:r>
    </w:p>
    <w:p w:rsidR="00DB1B48" w:rsidP="00DB1B48" w14:paraId="5532AFF0" w14:textId="77777777"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．病毒能够在餐具上增殖，用食盐溶液浸泡餐具可以阻止病毒增殖</w:t>
      </w:r>
      <w:r>
        <w:tab/>
      </w:r>
    </w:p>
    <w:p w:rsidR="00DB1B48" w:rsidP="00DB1B48" w14:paraId="1494745D" w14:textId="77777777"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．高温可破坏病原体蛋白质的空间结构，煮沸处理餐具可杀死病原体</w:t>
      </w:r>
      <w:r>
        <w:tab/>
      </w:r>
    </w:p>
    <w:p w:rsidR="00DB1B48" w:rsidP="00DB1B48" w14:paraId="1E40E17D" w14:textId="77777777"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．生活中接触的物体表面可能存在病原微生物，勤洗手可降低感染风险</w:t>
      </w:r>
    </w:p>
    <w:p w:rsidR="00DB1B48" w:rsidP="00DB1B48" w14:paraId="3A1739C0" w14:textId="77777777">
      <w:pPr>
        <w:spacing w:line="360" w:lineRule="auto"/>
        <w:ind w:left="273" w:hanging="273" w:hangingChars="130"/>
      </w:pPr>
      <w:r>
        <w:rPr>
          <w:rFonts w:ascii="Times New Roman" w:eastAsia="新宋体" w:hAnsi="Times New Roman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/>
          <w:szCs w:val="21"/>
        </w:rPr>
        <w:t>6</w:t>
      </w:r>
      <w:r>
        <w:rPr>
          <w:rFonts w:ascii="Times New Roman" w:eastAsia="新宋体" w:hAnsi="Times New Roman" w:hint="eastAsia"/>
          <w:szCs w:val="21"/>
        </w:rPr>
        <w:t>分）种子贮藏中需要控制呼吸作用以减少有机物的消耗。若作物种子呼吸作用所利用的物质是淀粉分解产生的葡萄糖，下列关于种子呼吸作用的叙述，错误的是（　　）</w:t>
      </w:r>
    </w:p>
    <w:p w:rsidR="00DB1B48" w:rsidP="00DB1B48" w14:paraId="280F3D37" w14:textId="77777777"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．若产生的</w:t>
      </w:r>
      <w:r>
        <w:rPr>
          <w:rFonts w:ascii="Times New Roman" w:eastAsia="新宋体" w:hAnsi="Times New Roman"/>
          <w:szCs w:val="21"/>
        </w:rPr>
        <w:t>CO</w:t>
      </w:r>
      <w:r>
        <w:rPr>
          <w:rFonts w:ascii="Times New Roman" w:eastAsia="新宋体" w:hAnsi="Times New Roman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与乙醇的分子数相等，则细胞只进行无氧呼吸</w:t>
      </w:r>
      <w:r>
        <w:tab/>
      </w:r>
    </w:p>
    <w:p w:rsidR="00DB1B48" w:rsidP="00DB1B48" w14:paraId="6BAC1EE0" w14:textId="77777777"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．若细胞只进行有氧呼吸，则吸收</w:t>
      </w:r>
      <w:r>
        <w:rPr>
          <w:rFonts w:ascii="Times New Roman" w:eastAsia="新宋体" w:hAnsi="Times New Roman"/>
          <w:szCs w:val="21"/>
        </w:rPr>
        <w:t>O</w:t>
      </w:r>
      <w:r>
        <w:rPr>
          <w:rFonts w:ascii="Times New Roman" w:eastAsia="新宋体" w:hAnsi="Times New Roman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的分子数与释放</w:t>
      </w:r>
      <w:r>
        <w:rPr>
          <w:rFonts w:ascii="Times New Roman" w:eastAsia="新宋体" w:hAnsi="Times New Roman"/>
          <w:szCs w:val="21"/>
        </w:rPr>
        <w:t>CO</w:t>
      </w:r>
      <w:r>
        <w:rPr>
          <w:rFonts w:ascii="Times New Roman" w:eastAsia="新宋体" w:hAnsi="Times New Roman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的相等</w:t>
      </w:r>
      <w:r>
        <w:tab/>
      </w:r>
    </w:p>
    <w:p w:rsidR="00DB1B48" w:rsidP="00DB1B48" w14:paraId="4529648C" w14:textId="77777777"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．若细胞只进行无氧呼吸且产物是乳酸，则无</w:t>
      </w:r>
      <w:r>
        <w:rPr>
          <w:rFonts w:ascii="Times New Roman" w:eastAsia="新宋体" w:hAnsi="Times New Roman"/>
          <w:szCs w:val="21"/>
        </w:rPr>
        <w:t>O</w:t>
      </w:r>
      <w:r>
        <w:rPr>
          <w:rFonts w:ascii="Times New Roman" w:eastAsia="新宋体" w:hAnsi="Times New Roman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吸收也无</w:t>
      </w:r>
      <w:r>
        <w:rPr>
          <w:rFonts w:ascii="Times New Roman" w:eastAsia="新宋体" w:hAnsi="Times New Roman"/>
          <w:szCs w:val="21"/>
        </w:rPr>
        <w:t>CO</w:t>
      </w:r>
      <w:r>
        <w:rPr>
          <w:rFonts w:ascii="Times New Roman" w:eastAsia="新宋体" w:hAnsi="Times New Roman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释放</w:t>
      </w:r>
      <w:r>
        <w:tab/>
      </w:r>
    </w:p>
    <w:p w:rsidR="00DB1B48" w:rsidP="00DB1B48" w14:paraId="60031B5C" w14:textId="77777777"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．若细胞同时进行有氧和无氧呼吸，则吸收</w:t>
      </w:r>
      <w:r>
        <w:rPr>
          <w:rFonts w:ascii="Times New Roman" w:eastAsia="新宋体" w:hAnsi="Times New Roman"/>
          <w:szCs w:val="21"/>
        </w:rPr>
        <w:t>O</w:t>
      </w:r>
      <w:r>
        <w:rPr>
          <w:rFonts w:ascii="Times New Roman" w:eastAsia="新宋体" w:hAnsi="Times New Roman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的分子数比释放</w:t>
      </w:r>
      <w:r>
        <w:rPr>
          <w:rFonts w:ascii="Times New Roman" w:eastAsia="新宋体" w:hAnsi="Times New Roman"/>
          <w:szCs w:val="21"/>
        </w:rPr>
        <w:t>CO</w:t>
      </w:r>
      <w:r>
        <w:rPr>
          <w:rFonts w:ascii="Times New Roman" w:eastAsia="新宋体" w:hAnsi="Times New Roman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的多</w:t>
      </w:r>
    </w:p>
    <w:p w:rsidR="00DB1B48" w:rsidP="00DB1B48" w14:paraId="723D83B7" w14:textId="77777777">
      <w:pPr>
        <w:spacing w:line="360" w:lineRule="auto"/>
        <w:ind w:left="273" w:hanging="273" w:hangingChars="130"/>
      </w:pPr>
      <w:r>
        <w:rPr>
          <w:rFonts w:ascii="Times New Roman" w:eastAsia="新宋体" w:hAnsi="Times New Roman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/>
          <w:szCs w:val="21"/>
        </w:rPr>
        <w:t>6</w:t>
      </w:r>
      <w:r>
        <w:rPr>
          <w:rFonts w:ascii="Times New Roman" w:eastAsia="新宋体" w:hAnsi="Times New Roman" w:hint="eastAsia"/>
          <w:szCs w:val="21"/>
        </w:rPr>
        <w:t>分）某研究人员以小鼠为材料进行了与甲状腺相关的实验，下列叙述错误的是（　　）</w:t>
      </w:r>
    </w:p>
    <w:p w:rsidR="00DB1B48" w:rsidP="00DB1B48" w14:paraId="3CF307E1" w14:textId="77777777"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．切除小鼠垂体，会导致甲状腺激素分泌不足，机体产热减少</w:t>
      </w:r>
      <w:r>
        <w:tab/>
      </w:r>
    </w:p>
    <w:p w:rsidR="00DB1B48" w:rsidP="00DB1B48" w14:paraId="52821B14" w14:textId="77777777"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．给切除垂体的幼年小鼠注射垂体提取液后，其耗氧量会增加</w:t>
      </w:r>
      <w:r>
        <w:tab/>
      </w:r>
    </w:p>
    <w:p w:rsidR="00DB1B48" w:rsidP="00DB1B48" w14:paraId="6455AE06" w14:textId="77777777"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．给成年小鼠注射甲状腺激素后，其神经系统的兴奋性会增强</w:t>
      </w:r>
      <w:r>
        <w:tab/>
      </w:r>
    </w:p>
    <w:p w:rsidR="00DB1B48" w:rsidP="00DB1B48" w14:paraId="4601FB43" w14:textId="77777777"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．给切除垂体的小鼠注射促甲状腺激素释放激素，其代谢可恢复正常</w:t>
      </w:r>
    </w:p>
    <w:p w:rsidR="00DB1B48" w:rsidP="00DB1B48" w14:paraId="5511266F" w14:textId="77777777">
      <w:pPr>
        <w:spacing w:line="360" w:lineRule="auto"/>
        <w:ind w:left="273" w:hanging="273" w:hangingChars="130"/>
      </w:pPr>
      <w:r>
        <w:rPr>
          <w:rFonts w:ascii="Times New Roman" w:eastAsia="新宋体" w:hAnsi="Times New Roman"/>
          <w:szCs w:val="21"/>
        </w:rPr>
        <w:t>4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/>
          <w:szCs w:val="21"/>
        </w:rPr>
        <w:t>6</w:t>
      </w:r>
      <w:r>
        <w:rPr>
          <w:rFonts w:ascii="Times New Roman" w:eastAsia="新宋体" w:hAnsi="Times New Roman" w:hint="eastAsia"/>
          <w:szCs w:val="21"/>
        </w:rPr>
        <w:t>分）为达到实验目的，需要选用合适的实验材料进行实验。下列实验目的与实验材料的对应，不合理的是（　　）</w:t>
      </w:r>
      <w:r>
        <w:rPr>
          <w:rFonts w:ascii="Times New Roman" w:eastAsia="新宋体" w:hAnsi="Times New Roman"/>
          <w:szCs w:val="21"/>
        </w:rPr>
        <w:t xml:space="preserve"> </w:t>
      </w:r>
    </w:p>
    <w:tbl>
      <w:tblPr>
        <w:tblW w:w="0" w:type="auto"/>
        <w:tblInd w:w="28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30" w:type="dxa"/>
          <w:left w:w="30" w:type="dxa"/>
          <w:bottom w:w="30" w:type="dxa"/>
          <w:right w:w="30" w:type="dxa"/>
        </w:tblCellMar>
        <w:tblLook w:val="04A0"/>
      </w:tblPr>
      <w:tblGrid>
        <w:gridCol w:w="1035"/>
        <w:gridCol w:w="2835"/>
        <w:gridCol w:w="4009"/>
      </w:tblGrid>
      <w:tr w14:paraId="6634AF15" w14:textId="77777777">
        <w:tblPrEx>
          <w:tblW w:w="0" w:type="auto"/>
          <w:tblInd w:w="280" w:type="dxa"/>
          <w:tbl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  <w:insideH w:val="single" w:sz="2" w:space="0" w:color="000000"/>
            <w:insideV w:val="single" w:sz="2" w:space="0" w:color="000000"/>
          </w:tblBorders>
          <w:tblCellMar>
            <w:top w:w="30" w:type="dxa"/>
            <w:left w:w="30" w:type="dxa"/>
            <w:bottom w:w="30" w:type="dxa"/>
            <w:right w:w="30" w:type="dxa"/>
          </w:tblCellMar>
          <w:tblLook w:val="04A0"/>
        </w:tblPrEx>
        <w:tc>
          <w:tcPr>
            <w:tcW w:w="10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DB1B48" w14:paraId="0DFC5C26" w14:textId="77777777">
            <w:pPr>
              <w:spacing w:line="360" w:lineRule="auto"/>
              <w:jc w:val="center"/>
            </w:pPr>
          </w:p>
        </w:tc>
        <w:tc>
          <w:tcPr>
            <w:tcW w:w="28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DB1B48" w14:paraId="2567DFE5" w14:textId="77777777">
            <w:pPr>
              <w:spacing w:line="360" w:lineRule="auto"/>
              <w:jc w:val="center"/>
            </w:pPr>
            <w:r>
              <w:rPr>
                <w:rFonts w:ascii="Times New Roman" w:eastAsia="新宋体" w:hAnsi="Times New Roman"/>
                <w:szCs w:val="21"/>
              </w:rPr>
              <w:t xml:space="preserve"> </w:t>
            </w:r>
            <w:r>
              <w:rPr>
                <w:rFonts w:ascii="Times New Roman" w:eastAsia="新宋体" w:hAnsi="Times New Roman" w:hint="eastAsia"/>
                <w:szCs w:val="21"/>
              </w:rPr>
              <w:t>实验材料</w:t>
            </w:r>
          </w:p>
        </w:tc>
        <w:tc>
          <w:tcPr>
            <w:tcW w:w="40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DB1B48" w14:paraId="1D050F9D" w14:textId="77777777">
            <w:pPr>
              <w:spacing w:line="360" w:lineRule="auto"/>
              <w:jc w:val="center"/>
            </w:pPr>
            <w:r>
              <w:rPr>
                <w:rFonts w:ascii="Times New Roman" w:eastAsia="新宋体" w:hAnsi="Times New Roman"/>
                <w:szCs w:val="21"/>
              </w:rPr>
              <w:t xml:space="preserve"> </w:t>
            </w:r>
            <w:r>
              <w:rPr>
                <w:rFonts w:ascii="Times New Roman" w:eastAsia="新宋体" w:hAnsi="Times New Roman" w:hint="eastAsia"/>
                <w:szCs w:val="21"/>
              </w:rPr>
              <w:t>实验目的</w:t>
            </w:r>
          </w:p>
        </w:tc>
      </w:tr>
      <w:tr w14:paraId="08375666" w14:textId="77777777">
        <w:tblPrEx>
          <w:tblW w:w="0" w:type="auto"/>
          <w:tblInd w:w="280" w:type="dxa"/>
          <w:tblCellMar>
            <w:top w:w="30" w:type="dxa"/>
            <w:left w:w="30" w:type="dxa"/>
            <w:bottom w:w="30" w:type="dxa"/>
            <w:right w:w="30" w:type="dxa"/>
          </w:tblCellMar>
          <w:tblLook w:val="04A0"/>
        </w:tblPrEx>
        <w:tc>
          <w:tcPr>
            <w:tcW w:w="10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DB1B48" w14:paraId="0E2DA98D" w14:textId="77777777">
            <w:pPr>
              <w:spacing w:line="360" w:lineRule="auto"/>
              <w:jc w:val="center"/>
            </w:pPr>
            <w:r>
              <w:rPr>
                <w:rFonts w:ascii="Times New Roman" w:eastAsia="新宋体" w:hAnsi="Times New Roman"/>
                <w:szCs w:val="21"/>
              </w:rPr>
              <w:t xml:space="preserve"> A</w:t>
            </w:r>
          </w:p>
        </w:tc>
        <w:tc>
          <w:tcPr>
            <w:tcW w:w="28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DB1B48" w14:paraId="08CE2F70" w14:textId="77777777">
            <w:pPr>
              <w:spacing w:line="360" w:lineRule="auto"/>
            </w:pPr>
            <w:r>
              <w:rPr>
                <w:rFonts w:ascii="Times New Roman" w:eastAsia="新宋体" w:hAnsi="Times New Roman"/>
                <w:szCs w:val="21"/>
              </w:rPr>
              <w:t xml:space="preserve"> </w:t>
            </w:r>
            <w:r>
              <w:rPr>
                <w:rFonts w:ascii="Times New Roman" w:eastAsia="新宋体" w:hAnsi="Times New Roman" w:hint="eastAsia"/>
                <w:szCs w:val="21"/>
              </w:rPr>
              <w:t>大蒜根尖分生区细胞</w:t>
            </w:r>
          </w:p>
        </w:tc>
        <w:tc>
          <w:tcPr>
            <w:tcW w:w="40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DB1B48" w14:paraId="68FE8B6A" w14:textId="77777777">
            <w:pPr>
              <w:spacing w:line="360" w:lineRule="auto"/>
            </w:pPr>
            <w:r>
              <w:rPr>
                <w:rFonts w:ascii="Times New Roman" w:eastAsia="新宋体" w:hAnsi="Times New Roman"/>
                <w:szCs w:val="21"/>
              </w:rPr>
              <w:t xml:space="preserve"> </w:t>
            </w:r>
            <w:r>
              <w:rPr>
                <w:rFonts w:ascii="Times New Roman" w:eastAsia="新宋体" w:hAnsi="Times New Roman" w:hint="eastAsia"/>
                <w:szCs w:val="21"/>
              </w:rPr>
              <w:t>观察细胞的质壁分离与复原</w:t>
            </w:r>
          </w:p>
        </w:tc>
      </w:tr>
      <w:tr w14:paraId="56BC4590" w14:textId="77777777">
        <w:tblPrEx>
          <w:tblW w:w="0" w:type="auto"/>
          <w:tblInd w:w="280" w:type="dxa"/>
          <w:tblCellMar>
            <w:top w:w="30" w:type="dxa"/>
            <w:left w:w="30" w:type="dxa"/>
            <w:bottom w:w="30" w:type="dxa"/>
            <w:right w:w="30" w:type="dxa"/>
          </w:tblCellMar>
          <w:tblLook w:val="04A0"/>
        </w:tblPrEx>
        <w:tc>
          <w:tcPr>
            <w:tcW w:w="10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DB1B48" w14:paraId="4DFA4851" w14:textId="77777777">
            <w:pPr>
              <w:spacing w:line="360" w:lineRule="auto"/>
              <w:jc w:val="center"/>
            </w:pPr>
            <w:r>
              <w:rPr>
                <w:rFonts w:ascii="Times New Roman" w:eastAsia="新宋体" w:hAnsi="Times New Roman"/>
                <w:szCs w:val="21"/>
              </w:rPr>
              <w:t xml:space="preserve"> B</w:t>
            </w:r>
          </w:p>
        </w:tc>
        <w:tc>
          <w:tcPr>
            <w:tcW w:w="28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DB1B48" w14:paraId="15B52D49" w14:textId="77777777">
            <w:pPr>
              <w:spacing w:line="360" w:lineRule="auto"/>
            </w:pPr>
            <w:r>
              <w:rPr>
                <w:rFonts w:ascii="Times New Roman" w:eastAsia="新宋体" w:hAnsi="Times New Roman"/>
                <w:szCs w:val="21"/>
              </w:rPr>
              <w:t xml:space="preserve"> </w:t>
            </w:r>
            <w:r>
              <w:rPr>
                <w:rFonts w:ascii="Times New Roman" w:eastAsia="新宋体" w:hAnsi="Times New Roman" w:hint="eastAsia"/>
                <w:szCs w:val="21"/>
              </w:rPr>
              <w:t>蝗虫的精巢细胞</w:t>
            </w:r>
          </w:p>
        </w:tc>
        <w:tc>
          <w:tcPr>
            <w:tcW w:w="40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DB1B48" w14:paraId="62970589" w14:textId="77777777">
            <w:pPr>
              <w:spacing w:line="360" w:lineRule="auto"/>
            </w:pPr>
            <w:r>
              <w:rPr>
                <w:rFonts w:ascii="Times New Roman" w:eastAsia="新宋体" w:hAnsi="Times New Roman"/>
                <w:szCs w:val="21"/>
              </w:rPr>
              <w:t xml:space="preserve"> </w:t>
            </w:r>
            <w:r>
              <w:rPr>
                <w:rFonts w:ascii="Times New Roman" w:eastAsia="新宋体" w:hAnsi="Times New Roman" w:hint="eastAsia"/>
                <w:szCs w:val="21"/>
              </w:rPr>
              <w:t>观察细胞的减数分裂</w:t>
            </w:r>
          </w:p>
        </w:tc>
      </w:tr>
      <w:tr w14:paraId="76CB3C69" w14:textId="77777777">
        <w:tblPrEx>
          <w:tblW w:w="0" w:type="auto"/>
          <w:tblInd w:w="280" w:type="dxa"/>
          <w:tblCellMar>
            <w:top w:w="30" w:type="dxa"/>
            <w:left w:w="30" w:type="dxa"/>
            <w:bottom w:w="30" w:type="dxa"/>
            <w:right w:w="30" w:type="dxa"/>
          </w:tblCellMar>
          <w:tblLook w:val="04A0"/>
        </w:tblPrEx>
        <w:tc>
          <w:tcPr>
            <w:tcW w:w="10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DB1B48" w14:paraId="0FC59BA1" w14:textId="77777777">
            <w:pPr>
              <w:spacing w:line="360" w:lineRule="auto"/>
              <w:jc w:val="center"/>
            </w:pPr>
            <w:r>
              <w:rPr>
                <w:rFonts w:ascii="Times New Roman" w:eastAsia="新宋体" w:hAnsi="Times New Roman"/>
                <w:szCs w:val="21"/>
              </w:rPr>
              <w:t xml:space="preserve"> C</w:t>
            </w:r>
          </w:p>
        </w:tc>
        <w:tc>
          <w:tcPr>
            <w:tcW w:w="28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DB1B48" w14:paraId="2AF01BB3" w14:textId="77777777">
            <w:pPr>
              <w:spacing w:line="360" w:lineRule="auto"/>
            </w:pPr>
            <w:r>
              <w:rPr>
                <w:rFonts w:ascii="Times New Roman" w:eastAsia="新宋体" w:hAnsi="Times New Roman"/>
                <w:szCs w:val="21"/>
              </w:rPr>
              <w:t xml:space="preserve"> </w:t>
            </w:r>
            <w:r>
              <w:rPr>
                <w:rFonts w:ascii="Times New Roman" w:eastAsia="新宋体" w:hAnsi="Times New Roman" w:hint="eastAsia"/>
                <w:szCs w:val="21"/>
              </w:rPr>
              <w:t>哺乳动物的红细胞</w:t>
            </w:r>
          </w:p>
        </w:tc>
        <w:tc>
          <w:tcPr>
            <w:tcW w:w="40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DB1B48" w14:paraId="58635BF2" w14:textId="77777777">
            <w:pPr>
              <w:spacing w:line="360" w:lineRule="auto"/>
            </w:pPr>
            <w:r>
              <w:rPr>
                <w:rFonts w:ascii="Times New Roman" w:eastAsia="新宋体" w:hAnsi="Times New Roman"/>
                <w:szCs w:val="21"/>
              </w:rPr>
              <w:t xml:space="preserve"> </w:t>
            </w:r>
            <w:r>
              <w:rPr>
                <w:rFonts w:ascii="Times New Roman" w:eastAsia="新宋体" w:hAnsi="Times New Roman" w:hint="eastAsia"/>
                <w:szCs w:val="21"/>
              </w:rPr>
              <w:t>观察细胞的吸水和失水</w:t>
            </w:r>
          </w:p>
        </w:tc>
      </w:tr>
      <w:tr w14:paraId="436E9D25" w14:textId="77777777">
        <w:tblPrEx>
          <w:tblW w:w="0" w:type="auto"/>
          <w:tblInd w:w="280" w:type="dxa"/>
          <w:tblCellMar>
            <w:top w:w="30" w:type="dxa"/>
            <w:left w:w="30" w:type="dxa"/>
            <w:bottom w:w="30" w:type="dxa"/>
            <w:right w:w="30" w:type="dxa"/>
          </w:tblCellMar>
          <w:tblLook w:val="04A0"/>
        </w:tblPrEx>
        <w:tc>
          <w:tcPr>
            <w:tcW w:w="10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DB1B48" w14:paraId="6DD97EC1" w14:textId="77777777">
            <w:pPr>
              <w:spacing w:line="360" w:lineRule="auto"/>
              <w:jc w:val="center"/>
            </w:pPr>
            <w:r>
              <w:rPr>
                <w:rFonts w:ascii="Times New Roman" w:eastAsia="新宋体" w:hAnsi="Times New Roman"/>
                <w:szCs w:val="21"/>
              </w:rPr>
              <w:t xml:space="preserve"> D</w:t>
            </w:r>
          </w:p>
        </w:tc>
        <w:tc>
          <w:tcPr>
            <w:tcW w:w="28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DB1B48" w14:paraId="4BE0A0A2" w14:textId="77777777">
            <w:pPr>
              <w:spacing w:line="360" w:lineRule="auto"/>
            </w:pPr>
            <w:r>
              <w:rPr>
                <w:rFonts w:ascii="Times New Roman" w:eastAsia="新宋体" w:hAnsi="Times New Roman"/>
                <w:szCs w:val="21"/>
              </w:rPr>
              <w:t xml:space="preserve"> </w:t>
            </w:r>
            <w:r>
              <w:rPr>
                <w:rFonts w:ascii="Times New Roman" w:eastAsia="新宋体" w:hAnsi="Times New Roman" w:hint="eastAsia"/>
                <w:szCs w:val="21"/>
              </w:rPr>
              <w:t>人口腔上皮细胞</w:t>
            </w:r>
          </w:p>
        </w:tc>
        <w:tc>
          <w:tcPr>
            <w:tcW w:w="40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DB1B48" w14:paraId="037F3DB3" w14:textId="77777777">
            <w:pPr>
              <w:spacing w:line="360" w:lineRule="auto"/>
            </w:pPr>
            <w:r>
              <w:rPr>
                <w:rFonts w:ascii="Times New Roman" w:eastAsia="新宋体" w:hAnsi="Times New Roman"/>
                <w:szCs w:val="21"/>
              </w:rPr>
              <w:t xml:space="preserve"> </w:t>
            </w:r>
            <w:r>
              <w:rPr>
                <w:rFonts w:ascii="Times New Roman" w:eastAsia="新宋体" w:hAnsi="Times New Roman" w:hint="eastAsia"/>
                <w:szCs w:val="21"/>
              </w:rPr>
              <w:t>观察</w:t>
            </w:r>
            <w:r>
              <w:rPr>
                <w:rFonts w:ascii="Times New Roman" w:eastAsia="新宋体" w:hAnsi="Times New Roman"/>
                <w:szCs w:val="21"/>
              </w:rPr>
              <w:t>DNA</w:t>
            </w:r>
            <w:r>
              <w:rPr>
                <w:rFonts w:ascii="Times New Roman" w:eastAsia="新宋体" w:hAnsi="Times New Roman" w:hint="eastAsia"/>
                <w:szCs w:val="21"/>
              </w:rPr>
              <w:t>、</w:t>
            </w:r>
            <w:r>
              <w:rPr>
                <w:rFonts w:ascii="Times New Roman" w:eastAsia="新宋体" w:hAnsi="Times New Roman"/>
                <w:szCs w:val="21"/>
              </w:rPr>
              <w:t>RNA</w:t>
            </w:r>
            <w:r>
              <w:rPr>
                <w:rFonts w:ascii="Times New Roman" w:eastAsia="新宋体" w:hAnsi="Times New Roman" w:hint="eastAsia"/>
                <w:szCs w:val="21"/>
              </w:rPr>
              <w:t>在细胞中的分布</w:t>
            </w:r>
          </w:p>
        </w:tc>
      </w:tr>
    </w:tbl>
    <w:p w:rsidR="00DB1B48" w:rsidP="00DB1B48" w14:paraId="058F7939" w14:textId="77777777">
      <w:pPr>
        <w:tabs>
          <w:tab w:val="left" w:pos="2300"/>
          <w:tab w:val="left" w:pos="4400"/>
          <w:tab w:val="left" w:pos="6400"/>
        </w:tabs>
        <w:spacing w:line="360" w:lineRule="auto"/>
        <w:ind w:firstLine="273" w:firstLineChars="130"/>
        <w:jc w:val="left"/>
      </w:pPr>
      <w:r>
        <w:rPr>
          <w:rFonts w:ascii="Times New Roman" w:eastAsia="新宋体" w:hAnsi="Times New Roman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/>
          <w:szCs w:val="21"/>
        </w:rPr>
        <w:t>A</w:t>
      </w:r>
      <w:r>
        <w:tab/>
      </w:r>
      <w:r>
        <w:rPr>
          <w:rFonts w:ascii="Times New Roman" w:eastAsia="新宋体" w:hAnsi="Times New Roman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/>
          <w:szCs w:val="21"/>
        </w:rPr>
        <w:t>B</w:t>
      </w:r>
      <w:r>
        <w:tab/>
      </w:r>
      <w:r>
        <w:rPr>
          <w:rFonts w:ascii="Times New Roman" w:eastAsia="新宋体" w:hAnsi="Times New Roman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/>
          <w:szCs w:val="21"/>
        </w:rPr>
        <w:t>C</w:t>
      </w:r>
      <w:r>
        <w:tab/>
      </w:r>
      <w:r>
        <w:rPr>
          <w:rFonts w:ascii="Times New Roman" w:eastAsia="新宋体" w:hAnsi="Times New Roman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/>
          <w:szCs w:val="21"/>
        </w:rPr>
        <w:t>D</w:t>
      </w:r>
    </w:p>
    <w:p w:rsidR="00DB1B48" w:rsidP="00DB1B48" w14:paraId="6C2A3EF2" w14:textId="77777777">
      <w:pPr>
        <w:spacing w:line="360" w:lineRule="auto"/>
        <w:ind w:left="273" w:hanging="273" w:hangingChars="130"/>
      </w:pPr>
      <w:r>
        <w:rPr>
          <w:rFonts w:ascii="Times New Roman" w:eastAsia="新宋体" w:hAnsi="Times New Roman"/>
          <w:szCs w:val="21"/>
        </w:rPr>
        <w:t>5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/>
          <w:szCs w:val="21"/>
        </w:rPr>
        <w:t>6</w:t>
      </w:r>
      <w:r>
        <w:rPr>
          <w:rFonts w:ascii="Times New Roman" w:eastAsia="新宋体" w:hAnsi="Times New Roman" w:hint="eastAsia"/>
          <w:szCs w:val="21"/>
        </w:rPr>
        <w:t>分）已知果蝇的长翅和截翅由一对等位基因控制。多只长翅果蝇进行单对交配（每个瓶中有</w:t>
      </w:r>
      <w:r>
        <w:rPr>
          <w:rFonts w:ascii="Times New Roman" w:eastAsia="新宋体" w:hAnsi="Times New Roman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只雌果蝇和</w:t>
      </w:r>
      <w:r>
        <w:rPr>
          <w:rFonts w:ascii="Times New Roman" w:eastAsia="新宋体" w:hAnsi="Times New Roman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只雄果蝇），子代果蝇中长翅：截翅＝</w:t>
      </w:r>
      <w:r>
        <w:rPr>
          <w:rFonts w:ascii="Times New Roman" w:eastAsia="新宋体" w:hAnsi="Times New Roman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：</w:t>
      </w:r>
      <w:r>
        <w:rPr>
          <w:rFonts w:ascii="Times New Roman" w:eastAsia="新宋体" w:hAnsi="Times New Roman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．据此无法判断的是（　　）</w:t>
      </w:r>
    </w:p>
    <w:p w:rsidR="00DB1B48" w:rsidP="00DB1B48" w14:paraId="2BBDAF72" w14:textId="77777777"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．长翅是显性性状还是隐性性状</w:t>
      </w:r>
      <w:r>
        <w:tab/>
      </w:r>
    </w:p>
    <w:p w:rsidR="00DB1B48" w:rsidP="00DB1B48" w14:paraId="270060B0" w14:textId="77777777"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．亲代雌蝇是杂合子还是纯合子</w:t>
      </w:r>
      <w:r>
        <w:tab/>
      </w:r>
    </w:p>
    <w:p w:rsidR="00DB1B48" w:rsidP="00DB1B48" w14:paraId="548A0339" w14:textId="77777777"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．该等位基因位于常染色体还是</w:t>
      </w:r>
      <w:r>
        <w:rPr>
          <w:rFonts w:ascii="Times New Roman" w:eastAsia="新宋体" w:hAnsi="Times New Roman"/>
          <w:szCs w:val="21"/>
        </w:rPr>
        <w:t>X</w:t>
      </w:r>
      <w:r>
        <w:rPr>
          <w:rFonts w:ascii="Times New Roman" w:eastAsia="新宋体" w:hAnsi="Times New Roman" w:hint="eastAsia"/>
          <w:szCs w:val="21"/>
        </w:rPr>
        <w:t>染色体上</w:t>
      </w:r>
      <w:r>
        <w:tab/>
      </w:r>
    </w:p>
    <w:p w:rsidR="00DB1B48" w:rsidP="00DB1B48" w14:paraId="4DAA7FE4" w14:textId="77777777"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．该等位基因在雌蝇体细胞中是否成对存在</w:t>
      </w:r>
    </w:p>
    <w:p w:rsidR="00DB1B48" w:rsidP="00DB1B48" w14:paraId="20F93408" w14:textId="77777777">
      <w:pPr>
        <w:spacing w:line="360" w:lineRule="auto"/>
        <w:ind w:left="273" w:hanging="273" w:hangingChars="130"/>
      </w:pPr>
      <w:r>
        <w:rPr>
          <w:rFonts w:ascii="Times New Roman" w:eastAsia="新宋体" w:hAnsi="Times New Roman"/>
          <w:szCs w:val="21"/>
        </w:rPr>
        <w:t>6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/>
          <w:szCs w:val="21"/>
        </w:rPr>
        <w:t>6</w:t>
      </w:r>
      <w:r>
        <w:rPr>
          <w:rFonts w:ascii="Times New Roman" w:eastAsia="新宋体" w:hAnsi="Times New Roman" w:hint="eastAsia"/>
          <w:szCs w:val="21"/>
        </w:rPr>
        <w:t>分）土壤小动物对动植物遗体的分解起着重要的作用。下列关于土壤小动物的叙述，错误的是（　　）</w:t>
      </w:r>
    </w:p>
    <w:p w:rsidR="00DB1B48" w:rsidP="00DB1B48" w14:paraId="134DE775" w14:textId="77777777"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．调查身体微小、活动力强的小动物数量常用标志重捕法</w:t>
      </w:r>
      <w:r>
        <w:tab/>
      </w:r>
    </w:p>
    <w:p w:rsidR="00DB1B48" w:rsidP="00DB1B48" w14:paraId="2EB53119" w14:textId="77777777"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．土壤中小动物类群的丰富度高，则该类群含有的物种数目多</w:t>
      </w:r>
      <w:r>
        <w:tab/>
      </w:r>
    </w:p>
    <w:p w:rsidR="00DB1B48" w:rsidP="00DB1B48" w14:paraId="78294B65" w14:textId="77777777"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．土壤小动物的代谢活动会影响土壤肥力，进而影响植物生长</w:t>
      </w:r>
      <w:r>
        <w:tab/>
      </w:r>
    </w:p>
    <w:p w:rsidR="00DB1B48" w:rsidP="00DB1B48" w14:paraId="633E4E30" w14:textId="77777777"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．土壤小动物呼吸作用产生的</w:t>
      </w:r>
      <w:r>
        <w:rPr>
          <w:rFonts w:ascii="Times New Roman" w:eastAsia="新宋体" w:hAnsi="Times New Roman"/>
          <w:szCs w:val="21"/>
        </w:rPr>
        <w:t>CO</w:t>
      </w:r>
      <w:r>
        <w:rPr>
          <w:rFonts w:ascii="Times New Roman" w:eastAsia="新宋体" w:hAnsi="Times New Roman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参与生态系统中的碳循环</w:t>
      </w:r>
    </w:p>
    <w:p w:rsidR="00DB1B48" w:rsidP="00DB1B48" w14:paraId="684A61E0" w14:textId="77777777">
      <w:pPr>
        <w:spacing w:line="360" w:lineRule="auto"/>
      </w:pPr>
      <w:r>
        <w:rPr>
          <w:rFonts w:ascii="Times New Roman" w:eastAsia="新宋体" w:hAnsi="Times New Roman" w:hint="eastAsia"/>
          <w:b/>
          <w:szCs w:val="21"/>
        </w:rPr>
        <w:t>二、非选择题：共</w:t>
      </w:r>
      <w:r>
        <w:rPr>
          <w:rFonts w:ascii="Times New Roman" w:eastAsia="新宋体" w:hAnsi="Times New Roman"/>
          <w:b/>
          <w:szCs w:val="21"/>
        </w:rPr>
        <w:t>54</w:t>
      </w:r>
      <w:r>
        <w:rPr>
          <w:rFonts w:ascii="Times New Roman" w:eastAsia="新宋体" w:hAnsi="Times New Roman" w:hint="eastAsia"/>
          <w:b/>
          <w:szCs w:val="21"/>
        </w:rPr>
        <w:t>分。第</w:t>
      </w:r>
      <w:r>
        <w:rPr>
          <w:rFonts w:ascii="Times New Roman" w:eastAsia="新宋体" w:hAnsi="Times New Roman"/>
          <w:b/>
          <w:szCs w:val="21"/>
        </w:rPr>
        <w:t>7~10</w:t>
      </w:r>
      <w:r>
        <w:rPr>
          <w:rFonts w:ascii="Times New Roman" w:eastAsia="新宋体" w:hAnsi="Times New Roman" w:hint="eastAsia"/>
          <w:b/>
          <w:szCs w:val="21"/>
        </w:rPr>
        <w:t>题为必考题，每个试题考生都必须作答。第</w:t>
      </w:r>
      <w:r>
        <w:rPr>
          <w:rFonts w:ascii="Times New Roman" w:eastAsia="新宋体" w:hAnsi="Times New Roman"/>
          <w:b/>
          <w:szCs w:val="21"/>
        </w:rPr>
        <w:t>11</w:t>
      </w:r>
      <w:r>
        <w:rPr>
          <w:rFonts w:ascii="Times New Roman" w:eastAsia="新宋体" w:hAnsi="Times New Roman" w:hint="eastAsia"/>
          <w:b/>
          <w:szCs w:val="21"/>
        </w:rPr>
        <w:t>、</w:t>
      </w:r>
      <w:r>
        <w:rPr>
          <w:rFonts w:ascii="Times New Roman" w:eastAsia="新宋体" w:hAnsi="Times New Roman"/>
          <w:b/>
          <w:szCs w:val="21"/>
        </w:rPr>
        <w:t>12</w:t>
      </w:r>
      <w:r>
        <w:rPr>
          <w:rFonts w:ascii="Times New Roman" w:eastAsia="新宋体" w:hAnsi="Times New Roman" w:hint="eastAsia"/>
          <w:b/>
          <w:szCs w:val="21"/>
        </w:rPr>
        <w:t>题为选考题，考生根据要求作答。（一）必考题：共</w:t>
      </w:r>
      <w:r>
        <w:rPr>
          <w:rFonts w:ascii="Times New Roman" w:eastAsia="新宋体" w:hAnsi="Times New Roman"/>
          <w:b/>
          <w:szCs w:val="21"/>
        </w:rPr>
        <w:t>39</w:t>
      </w:r>
      <w:r>
        <w:rPr>
          <w:rFonts w:ascii="Times New Roman" w:eastAsia="新宋体" w:hAnsi="Times New Roman" w:hint="eastAsia"/>
          <w:b/>
          <w:szCs w:val="21"/>
        </w:rPr>
        <w:t>分。</w:t>
      </w:r>
    </w:p>
    <w:p w:rsidR="00DB1B48" w:rsidP="00DB1B48" w14:paraId="0899B16F" w14:textId="77777777">
      <w:pPr>
        <w:spacing w:line="360" w:lineRule="auto"/>
        <w:ind w:left="273" w:hanging="273" w:hangingChars="130"/>
      </w:pPr>
      <w:r>
        <w:rPr>
          <w:rFonts w:ascii="Times New Roman" w:eastAsia="新宋体" w:hAnsi="Times New Roman"/>
          <w:szCs w:val="21"/>
        </w:rPr>
        <w:t>7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/>
          <w:szCs w:val="21"/>
        </w:rPr>
        <w:t>10</w:t>
      </w:r>
      <w:r>
        <w:rPr>
          <w:rFonts w:ascii="Times New Roman" w:eastAsia="新宋体" w:hAnsi="Times New Roman" w:hint="eastAsia"/>
          <w:szCs w:val="21"/>
        </w:rPr>
        <w:t>分）真核细胞的膜结构具有重要功能。请参照表中内容完成下表。</w:t>
      </w:r>
    </w:p>
    <w:tbl>
      <w:tblPr>
        <w:tblW w:w="0" w:type="auto"/>
        <w:tblInd w:w="28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30" w:type="dxa"/>
          <w:left w:w="30" w:type="dxa"/>
          <w:bottom w:w="30" w:type="dxa"/>
          <w:right w:w="30" w:type="dxa"/>
        </w:tblCellMar>
        <w:tblLook w:val="04A0"/>
      </w:tblPr>
      <w:tblGrid>
        <w:gridCol w:w="1425"/>
        <w:gridCol w:w="1600"/>
        <w:gridCol w:w="1600"/>
        <w:gridCol w:w="1600"/>
        <w:gridCol w:w="1600"/>
      </w:tblGrid>
      <w:tr w14:paraId="370C78B1" w14:textId="77777777">
        <w:tblPrEx>
          <w:tblW w:w="0" w:type="auto"/>
          <w:tblInd w:w="280" w:type="dxa"/>
          <w:tbl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  <w:insideH w:val="single" w:sz="2" w:space="0" w:color="000000"/>
            <w:insideV w:val="single" w:sz="2" w:space="0" w:color="000000"/>
          </w:tblBorders>
          <w:tblCellMar>
            <w:top w:w="30" w:type="dxa"/>
            <w:left w:w="30" w:type="dxa"/>
            <w:bottom w:w="30" w:type="dxa"/>
            <w:right w:w="30" w:type="dxa"/>
          </w:tblCellMar>
          <w:tblLook w:val="04A0"/>
        </w:tblPrEx>
        <w:tc>
          <w:tcPr>
            <w:tcW w:w="14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DB1B48" w14:paraId="0B38A7C0" w14:textId="77777777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结构名称</w:t>
            </w:r>
          </w:p>
        </w:tc>
        <w:tc>
          <w:tcPr>
            <w:tcW w:w="1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DB1B48" w14:paraId="17881B9D" w14:textId="77777777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突触</w:t>
            </w:r>
          </w:p>
        </w:tc>
        <w:tc>
          <w:tcPr>
            <w:tcW w:w="1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DB1B48" w14:paraId="5B98059D" w14:textId="77777777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高尔基体</w:t>
            </w:r>
          </w:p>
        </w:tc>
        <w:tc>
          <w:tcPr>
            <w:tcW w:w="1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DB1B48" w14:paraId="721C3EFC" w14:textId="77777777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（</w:t>
            </w:r>
            <w:r>
              <w:rPr>
                <w:rFonts w:ascii="Times New Roman" w:eastAsia="新宋体" w:hAnsi="Times New Roman"/>
                <w:szCs w:val="21"/>
              </w:rPr>
              <w:t>1</w:t>
            </w:r>
            <w:r>
              <w:rPr>
                <w:rFonts w:ascii="Times New Roman" w:eastAsia="新宋体" w:hAnsi="Times New Roman" w:hint="eastAsia"/>
                <w:szCs w:val="21"/>
              </w:rPr>
              <w:t>）</w:t>
            </w:r>
            <w:r>
              <w:rPr>
                <w:rFonts w:ascii="Times New Roman" w:eastAsia="新宋体" w:hAnsi="Times New Roman" w:hint="eastAsia"/>
                <w:szCs w:val="21"/>
                <w:u w:val="single"/>
              </w:rPr>
              <w:t>　</w:t>
            </w:r>
            <w:r>
              <w:rPr>
                <w:rFonts w:ascii="Times New Roman" w:eastAsia="新宋体" w:hAnsi="Times New Roman"/>
                <w:szCs w:val="21"/>
                <w:u w:val="single"/>
              </w:rPr>
              <w:t xml:space="preserve">   </w:t>
            </w:r>
            <w:r>
              <w:rPr>
                <w:rFonts w:ascii="Times New Roman" w:eastAsia="新宋体" w:hAnsi="Times New Roman" w:hint="eastAsia"/>
                <w:szCs w:val="21"/>
                <w:u w:val="single"/>
              </w:rPr>
              <w:t>　</w:t>
            </w:r>
          </w:p>
        </w:tc>
        <w:tc>
          <w:tcPr>
            <w:tcW w:w="1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DB1B48" w14:paraId="40A9396A" w14:textId="77777777">
            <w:pPr>
              <w:spacing w:line="360" w:lineRule="auto"/>
              <w:jc w:val="center"/>
            </w:pPr>
            <w:r>
              <w:rPr>
                <w:rFonts w:ascii="Times New Roman" w:eastAsia="新宋体" w:hAnsi="Times New Roman"/>
                <w:szCs w:val="21"/>
              </w:rPr>
              <w:t xml:space="preserve"> </w:t>
            </w:r>
            <w:r>
              <w:rPr>
                <w:rFonts w:ascii="Times New Roman" w:eastAsia="新宋体" w:hAnsi="Times New Roman" w:hint="eastAsia"/>
                <w:szCs w:val="21"/>
              </w:rPr>
              <w:t>叶绿体的类囊体膜</w:t>
            </w:r>
          </w:p>
        </w:tc>
      </w:tr>
      <w:tr w14:paraId="18A30905" w14:textId="77777777">
        <w:tblPrEx>
          <w:tblW w:w="0" w:type="auto"/>
          <w:tblInd w:w="280" w:type="dxa"/>
          <w:tblCellMar>
            <w:top w:w="30" w:type="dxa"/>
            <w:left w:w="30" w:type="dxa"/>
            <w:bottom w:w="30" w:type="dxa"/>
            <w:right w:w="30" w:type="dxa"/>
          </w:tblCellMar>
          <w:tblLook w:val="04A0"/>
        </w:tblPrEx>
        <w:tc>
          <w:tcPr>
            <w:tcW w:w="14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DB1B48" w14:paraId="747EE854" w14:textId="77777777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功能</w:t>
            </w:r>
          </w:p>
        </w:tc>
        <w:tc>
          <w:tcPr>
            <w:tcW w:w="1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DB1B48" w14:paraId="43A3CA0A" w14:textId="77777777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（</w:t>
            </w:r>
            <w:r>
              <w:rPr>
                <w:rFonts w:ascii="Times New Roman" w:eastAsia="新宋体" w:hAnsi="Times New Roman"/>
                <w:szCs w:val="21"/>
              </w:rPr>
              <w:t>2</w:t>
            </w:r>
            <w:r>
              <w:rPr>
                <w:rFonts w:ascii="Times New Roman" w:eastAsia="新宋体" w:hAnsi="Times New Roman" w:hint="eastAsia"/>
                <w:szCs w:val="21"/>
              </w:rPr>
              <w:t>）</w:t>
            </w:r>
            <w:r>
              <w:rPr>
                <w:rFonts w:ascii="Times New Roman" w:eastAsia="新宋体" w:hAnsi="Times New Roman" w:hint="eastAsia"/>
                <w:szCs w:val="21"/>
                <w:u w:val="single"/>
              </w:rPr>
              <w:t>　</w:t>
            </w:r>
            <w:r>
              <w:rPr>
                <w:rFonts w:ascii="Times New Roman" w:eastAsia="新宋体" w:hAnsi="Times New Roman"/>
                <w:szCs w:val="21"/>
                <w:u w:val="single"/>
              </w:rPr>
              <w:t xml:space="preserve">   </w:t>
            </w:r>
            <w:r>
              <w:rPr>
                <w:rFonts w:ascii="Times New Roman" w:eastAsia="新宋体" w:hAnsi="Times New Roman" w:hint="eastAsia"/>
                <w:szCs w:val="21"/>
                <w:u w:val="single"/>
              </w:rPr>
              <w:t>　</w:t>
            </w:r>
          </w:p>
        </w:tc>
        <w:tc>
          <w:tcPr>
            <w:tcW w:w="1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DB1B48" w14:paraId="7D8AAE48" w14:textId="77777777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（</w:t>
            </w:r>
            <w:r>
              <w:rPr>
                <w:rFonts w:ascii="Times New Roman" w:eastAsia="新宋体" w:hAnsi="Times New Roman"/>
                <w:szCs w:val="21"/>
              </w:rPr>
              <w:t>3</w:t>
            </w:r>
            <w:r>
              <w:rPr>
                <w:rFonts w:ascii="Times New Roman" w:eastAsia="新宋体" w:hAnsi="Times New Roman" w:hint="eastAsia"/>
                <w:szCs w:val="21"/>
              </w:rPr>
              <w:t>）</w:t>
            </w:r>
            <w:r>
              <w:rPr>
                <w:rFonts w:ascii="Times New Roman" w:eastAsia="新宋体" w:hAnsi="Times New Roman" w:hint="eastAsia"/>
                <w:szCs w:val="21"/>
                <w:u w:val="single"/>
              </w:rPr>
              <w:t>　</w:t>
            </w:r>
            <w:r>
              <w:rPr>
                <w:rFonts w:ascii="Times New Roman" w:eastAsia="新宋体" w:hAnsi="Times New Roman"/>
                <w:szCs w:val="21"/>
                <w:u w:val="single"/>
              </w:rPr>
              <w:t xml:space="preserve">   </w:t>
            </w:r>
            <w:r>
              <w:rPr>
                <w:rFonts w:ascii="Times New Roman" w:eastAsia="新宋体" w:hAnsi="Times New Roman" w:hint="eastAsia"/>
                <w:szCs w:val="21"/>
                <w:u w:val="single"/>
              </w:rPr>
              <w:t>　</w:t>
            </w:r>
          </w:p>
        </w:tc>
        <w:tc>
          <w:tcPr>
            <w:tcW w:w="1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DB1B48" w14:paraId="4C4CF964" w14:textId="77777777">
            <w:pPr>
              <w:spacing w:line="360" w:lineRule="auto"/>
              <w:jc w:val="center"/>
            </w:pPr>
            <w:r>
              <w:rPr>
                <w:rFonts w:ascii="Times New Roman" w:eastAsia="新宋体" w:hAnsi="Times New Roman"/>
                <w:szCs w:val="21"/>
              </w:rPr>
              <w:t xml:space="preserve"> </w:t>
            </w:r>
            <w:r>
              <w:rPr>
                <w:rFonts w:ascii="Times New Roman" w:eastAsia="新宋体" w:hAnsi="Times New Roman" w:hint="eastAsia"/>
                <w:szCs w:val="21"/>
              </w:rPr>
              <w:t>控制物质进出细胞</w:t>
            </w:r>
          </w:p>
        </w:tc>
        <w:tc>
          <w:tcPr>
            <w:tcW w:w="1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DB1B48" w14:paraId="40084745" w14:textId="77777777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作为能量转换的场所</w:t>
            </w:r>
          </w:p>
        </w:tc>
      </w:tr>
      <w:tr w14:paraId="678C3A9D" w14:textId="77777777">
        <w:tblPrEx>
          <w:tblW w:w="0" w:type="auto"/>
          <w:tblInd w:w="280" w:type="dxa"/>
          <w:tblCellMar>
            <w:top w:w="30" w:type="dxa"/>
            <w:left w:w="30" w:type="dxa"/>
            <w:bottom w:w="30" w:type="dxa"/>
            <w:right w:w="30" w:type="dxa"/>
          </w:tblCellMar>
          <w:tblLook w:val="04A0"/>
        </w:tblPrEx>
        <w:tc>
          <w:tcPr>
            <w:tcW w:w="14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DB1B48" w14:paraId="419DCE52" w14:textId="77777777">
            <w:pPr>
              <w:spacing w:line="360" w:lineRule="auto"/>
              <w:jc w:val="center"/>
            </w:pPr>
            <w:r>
              <w:rPr>
                <w:rFonts w:ascii="Times New Roman" w:eastAsia="新宋体" w:hAnsi="Times New Roman"/>
                <w:szCs w:val="21"/>
              </w:rPr>
              <w:t xml:space="preserve"> </w:t>
            </w:r>
            <w:r>
              <w:rPr>
                <w:rFonts w:ascii="Times New Roman" w:eastAsia="新宋体" w:hAnsi="Times New Roman" w:hint="eastAsia"/>
                <w:szCs w:val="21"/>
              </w:rPr>
              <w:t>膜的主要成分</w:t>
            </w:r>
          </w:p>
        </w:tc>
        <w:tc>
          <w:tcPr>
            <w:tcW w:w="1600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DB1B48" w14:paraId="5E0100E5" w14:textId="77777777">
            <w:pPr>
              <w:spacing w:line="360" w:lineRule="auto"/>
              <w:jc w:val="center"/>
            </w:pPr>
            <w:r>
              <w:rPr>
                <w:rFonts w:ascii="Times New Roman" w:eastAsia="新宋体" w:hAnsi="Times New Roman"/>
                <w:szCs w:val="21"/>
              </w:rPr>
              <w:t xml:space="preserve"> </w:t>
            </w:r>
            <w:r>
              <w:rPr>
                <w:rFonts w:ascii="Times New Roman" w:eastAsia="新宋体" w:hAnsi="Times New Roman" w:hint="eastAsia"/>
                <w:szCs w:val="21"/>
              </w:rPr>
              <w:t>（</w:t>
            </w:r>
            <w:r>
              <w:rPr>
                <w:rFonts w:ascii="Times New Roman" w:eastAsia="新宋体" w:hAnsi="Times New Roman"/>
                <w:szCs w:val="21"/>
              </w:rPr>
              <w:t>4</w:t>
            </w:r>
            <w:r>
              <w:rPr>
                <w:rFonts w:ascii="Times New Roman" w:eastAsia="新宋体" w:hAnsi="Times New Roman" w:hint="eastAsia"/>
                <w:szCs w:val="21"/>
              </w:rPr>
              <w:t>）</w:t>
            </w:r>
            <w:r>
              <w:rPr>
                <w:rFonts w:ascii="Times New Roman" w:eastAsia="新宋体" w:hAnsi="Times New Roman" w:hint="eastAsia"/>
                <w:szCs w:val="21"/>
                <w:u w:val="single"/>
              </w:rPr>
              <w:t>　</w:t>
            </w:r>
            <w:r>
              <w:rPr>
                <w:rFonts w:ascii="Times New Roman" w:eastAsia="新宋体" w:hAnsi="Times New Roman"/>
                <w:szCs w:val="21"/>
                <w:u w:val="single"/>
              </w:rPr>
              <w:t xml:space="preserve">   </w:t>
            </w:r>
            <w:r>
              <w:rPr>
                <w:rFonts w:ascii="Times New Roman" w:eastAsia="新宋体" w:hAnsi="Times New Roman" w:hint="eastAsia"/>
                <w:szCs w:val="21"/>
                <w:u w:val="single"/>
              </w:rPr>
              <w:t>　</w:t>
            </w:r>
          </w:p>
        </w:tc>
      </w:tr>
      <w:tr w14:paraId="677DDC27" w14:textId="77777777">
        <w:tblPrEx>
          <w:tblW w:w="0" w:type="auto"/>
          <w:tblInd w:w="280" w:type="dxa"/>
          <w:tblCellMar>
            <w:top w:w="30" w:type="dxa"/>
            <w:left w:w="30" w:type="dxa"/>
            <w:bottom w:w="30" w:type="dxa"/>
            <w:right w:w="30" w:type="dxa"/>
          </w:tblCellMar>
          <w:tblLook w:val="04A0"/>
        </w:tblPrEx>
        <w:tc>
          <w:tcPr>
            <w:tcW w:w="14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DB1B48" w14:paraId="09B188AF" w14:textId="77777777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功能举例</w:t>
            </w:r>
          </w:p>
        </w:tc>
        <w:tc>
          <w:tcPr>
            <w:tcW w:w="1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DB1B48" w14:paraId="7AD54769" w14:textId="77777777">
            <w:pPr>
              <w:spacing w:line="360" w:lineRule="auto"/>
            </w:pPr>
            <w:r>
              <w:rPr>
                <w:rFonts w:ascii="Times New Roman" w:eastAsia="新宋体" w:hAnsi="Times New Roman" w:hint="eastAsia"/>
                <w:szCs w:val="21"/>
              </w:rPr>
              <w:t>在缩手反射中参与兴奋在神经元之间的传递</w:t>
            </w:r>
          </w:p>
        </w:tc>
        <w:tc>
          <w:tcPr>
            <w:tcW w:w="1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DB1B48" w14:paraId="63217CEE" w14:textId="77777777">
            <w:pPr>
              <w:spacing w:line="360" w:lineRule="auto"/>
            </w:pPr>
            <w:r>
              <w:rPr>
                <w:rFonts w:ascii="Times New Roman" w:eastAsia="新宋体" w:hAnsi="Times New Roman" w:hint="eastAsia"/>
                <w:szCs w:val="21"/>
              </w:rPr>
              <w:t>参与豚鼠胰腺腺泡细胞分泌蛋白的形成过程</w:t>
            </w:r>
          </w:p>
        </w:tc>
        <w:tc>
          <w:tcPr>
            <w:tcW w:w="1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DB1B48" w14:paraId="16C2A4FC" w14:textId="77777777">
            <w:pPr>
              <w:spacing w:line="360" w:lineRule="auto"/>
            </w:pPr>
            <w:r>
              <w:rPr>
                <w:rFonts w:ascii="Times New Roman" w:eastAsia="新宋体" w:hAnsi="Times New Roman" w:hint="eastAsia"/>
                <w:szCs w:val="21"/>
              </w:rPr>
              <w:t>参与</w:t>
            </w:r>
            <w:r>
              <w:rPr>
                <w:rFonts w:ascii="Times New Roman" w:eastAsia="新宋体" w:hAnsi="Times New Roman"/>
                <w:szCs w:val="21"/>
              </w:rPr>
              <w:t>K</w:t>
            </w:r>
            <w:r>
              <w:rPr>
                <w:rFonts w:ascii="Times New Roman" w:eastAsia="新宋体" w:hAnsi="Times New Roman"/>
                <w:sz w:val="24"/>
                <w:szCs w:val="24"/>
                <w:vertAlign w:val="superscript"/>
              </w:rPr>
              <w:t>+</w:t>
            </w:r>
            <w:r>
              <w:rPr>
                <w:rFonts w:ascii="Times New Roman" w:eastAsia="新宋体" w:hAnsi="Times New Roman" w:hint="eastAsia"/>
                <w:szCs w:val="21"/>
              </w:rPr>
              <w:t>从土壤进入植物根细胞的过程</w:t>
            </w:r>
          </w:p>
        </w:tc>
        <w:tc>
          <w:tcPr>
            <w:tcW w:w="1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DB1B48" w14:paraId="444007F3" w14:textId="77777777">
            <w:pPr>
              <w:spacing w:line="360" w:lineRule="auto"/>
            </w:pPr>
            <w:r>
              <w:rPr>
                <w:rFonts w:ascii="Times New Roman" w:eastAsia="新宋体" w:hAnsi="Times New Roman"/>
                <w:szCs w:val="21"/>
              </w:rPr>
              <w:t xml:space="preserve"> </w:t>
            </w:r>
            <w:r>
              <w:rPr>
                <w:rFonts w:ascii="Times New Roman" w:eastAsia="新宋体" w:hAnsi="Times New Roman" w:hint="eastAsia"/>
                <w:szCs w:val="21"/>
              </w:rPr>
              <w:t>（</w:t>
            </w:r>
            <w:r>
              <w:rPr>
                <w:rFonts w:ascii="Times New Roman" w:eastAsia="新宋体" w:hAnsi="Times New Roman"/>
                <w:szCs w:val="21"/>
              </w:rPr>
              <w:t>5</w:t>
            </w:r>
            <w:r>
              <w:rPr>
                <w:rFonts w:ascii="Times New Roman" w:eastAsia="新宋体" w:hAnsi="Times New Roman" w:hint="eastAsia"/>
                <w:szCs w:val="21"/>
              </w:rPr>
              <w:t>）</w:t>
            </w:r>
            <w:r>
              <w:rPr>
                <w:rFonts w:ascii="Times New Roman" w:eastAsia="新宋体" w:hAnsi="Times New Roman" w:hint="eastAsia"/>
                <w:szCs w:val="21"/>
                <w:u w:val="single"/>
              </w:rPr>
              <w:t>　</w:t>
            </w:r>
            <w:r>
              <w:rPr>
                <w:rFonts w:ascii="Times New Roman" w:eastAsia="新宋体" w:hAnsi="Times New Roman"/>
                <w:szCs w:val="21"/>
                <w:u w:val="single"/>
              </w:rPr>
              <w:t xml:space="preserve">   </w:t>
            </w:r>
            <w:r>
              <w:rPr>
                <w:rFonts w:ascii="Times New Roman" w:eastAsia="新宋体" w:hAnsi="Times New Roman" w:hint="eastAsia"/>
                <w:szCs w:val="21"/>
                <w:u w:val="single"/>
              </w:rPr>
              <w:t>　</w:t>
            </w:r>
          </w:p>
        </w:tc>
      </w:tr>
    </w:tbl>
    <w:p w:rsidR="00DB1B48" w:rsidP="00DB1B48" w14:paraId="6273AD11" w14:textId="77777777">
      <w:pPr>
        <w:spacing w:line="360" w:lineRule="auto"/>
        <w:ind w:left="273" w:hanging="273" w:hangingChars="130"/>
      </w:pPr>
      <w:r>
        <w:rPr>
          <w:rFonts w:ascii="Times New Roman" w:eastAsia="新宋体" w:hAnsi="Times New Roman"/>
          <w:szCs w:val="21"/>
        </w:rPr>
        <w:t>8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/>
          <w:szCs w:val="21"/>
        </w:rPr>
        <w:t>10</w:t>
      </w:r>
      <w:r>
        <w:rPr>
          <w:rFonts w:ascii="Times New Roman" w:eastAsia="新宋体" w:hAnsi="Times New Roman" w:hint="eastAsia"/>
          <w:szCs w:val="21"/>
        </w:rPr>
        <w:t>分）农业生产中的一些栽培措施可以影响作物的生理活动，促进作物的生长发育，达到增加产量等目的。回答下列问题：</w:t>
      </w:r>
    </w:p>
    <w:p w:rsidR="00DB1B48" w:rsidP="00DB1B48" w14:paraId="0AC34A68" w14:textId="77777777">
      <w:pPr>
        <w:spacing w:line="360" w:lineRule="auto"/>
        <w:ind w:left="273" w:leftChars="130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）中耕是指作物生长期中，在植株之间去除杂草并进行松土的一项栽培措施，该栽培措施对作物的作用有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 w:hint="eastAsia"/>
          <w:szCs w:val="21"/>
        </w:rPr>
        <w:t>（答出</w:t>
      </w:r>
      <w:r>
        <w:rPr>
          <w:rFonts w:ascii="Times New Roman" w:eastAsia="新宋体" w:hAnsi="Times New Roman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点即可）。</w:t>
      </w:r>
    </w:p>
    <w:p w:rsidR="00DB1B48" w:rsidP="00DB1B48" w14:paraId="010A3A79" w14:textId="77777777">
      <w:pPr>
        <w:spacing w:line="360" w:lineRule="auto"/>
        <w:ind w:left="273" w:leftChars="130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）农田施肥的同时，往往需要适当的浇水，此时浇水的原因是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 w:hint="eastAsia"/>
          <w:szCs w:val="21"/>
        </w:rPr>
        <w:t>（答出</w:t>
      </w:r>
      <w:r>
        <w:rPr>
          <w:rFonts w:ascii="Times New Roman" w:eastAsia="新宋体" w:hAnsi="Times New Roman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点即</w:t>
      </w:r>
      <w:r>
        <w:rPr>
          <w:rFonts w:ascii="Times New Roman" w:eastAsia="新宋体" w:hAnsi="Times New Roman" w:hint="eastAsia"/>
          <w:szCs w:val="21"/>
        </w:rPr>
        <w:t>可）。</w:t>
      </w:r>
    </w:p>
    <w:p w:rsidR="00DB1B48" w:rsidP="00DB1B48" w14:paraId="0071DA66" w14:textId="77777777">
      <w:pPr>
        <w:spacing w:line="360" w:lineRule="auto"/>
        <w:ind w:left="273" w:leftChars="130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）农业生产常采用间作（同一生长期内，在同一块农田上间隔种植两种作物）的方法提高农田的光能利用率。现有</w:t>
      </w:r>
      <w:r>
        <w:rPr>
          <w:rFonts w:ascii="Times New Roman" w:eastAsia="新宋体" w:hAnsi="Times New Roman"/>
          <w:szCs w:val="21"/>
        </w:rPr>
        <w:t>4</w:t>
      </w:r>
      <w:r>
        <w:rPr>
          <w:rFonts w:ascii="Times New Roman" w:eastAsia="新宋体" w:hAnsi="Times New Roman" w:hint="eastAsia"/>
          <w:szCs w:val="21"/>
        </w:rPr>
        <w:t>种作物，在正常条件下生长能达到的株高和光饱和点（光合速率达到最大时所需的光照强度）见下表。从提高光能利用率的角度考虑，最适合进行间作的两种作物是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 w:hint="eastAsia"/>
          <w:szCs w:val="21"/>
        </w:rPr>
        <w:t>，选择这两种作物的理由是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 w:hint="eastAsia"/>
          <w:szCs w:val="21"/>
        </w:rPr>
        <w:t>。</w:t>
      </w:r>
      <w:r>
        <w:rPr>
          <w:rFonts w:ascii="Times New Roman" w:eastAsia="新宋体" w:hAnsi="Times New Roman"/>
          <w:szCs w:val="21"/>
        </w:rPr>
        <w:t xml:space="preserve"> </w:t>
      </w:r>
    </w:p>
    <w:tbl>
      <w:tblPr>
        <w:tblW w:w="0" w:type="auto"/>
        <w:tblInd w:w="28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30" w:type="dxa"/>
          <w:left w:w="30" w:type="dxa"/>
          <w:bottom w:w="30" w:type="dxa"/>
          <w:right w:w="30" w:type="dxa"/>
        </w:tblCellMar>
        <w:tblLook w:val="04A0"/>
      </w:tblPr>
      <w:tblGrid>
        <w:gridCol w:w="1530"/>
        <w:gridCol w:w="1626"/>
        <w:gridCol w:w="1626"/>
        <w:gridCol w:w="1619"/>
        <w:gridCol w:w="1619"/>
      </w:tblGrid>
      <w:tr w14:paraId="507A2C37" w14:textId="77777777">
        <w:tblPrEx>
          <w:tblW w:w="0" w:type="auto"/>
          <w:tblInd w:w="280" w:type="dxa"/>
          <w:tbl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  <w:insideH w:val="single" w:sz="2" w:space="0" w:color="000000"/>
            <w:insideV w:val="single" w:sz="2" w:space="0" w:color="000000"/>
          </w:tblBorders>
          <w:tblCellMar>
            <w:top w:w="30" w:type="dxa"/>
            <w:left w:w="30" w:type="dxa"/>
            <w:bottom w:w="30" w:type="dxa"/>
            <w:right w:w="30" w:type="dxa"/>
          </w:tblCellMar>
          <w:tblLook w:val="04A0"/>
        </w:tblPrEx>
        <w:tc>
          <w:tcPr>
            <w:tcW w:w="1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DB1B48" w14:paraId="2AD43580" w14:textId="77777777">
            <w:pPr>
              <w:spacing w:line="360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作物</w:t>
            </w:r>
          </w:p>
        </w:tc>
        <w:tc>
          <w:tcPr>
            <w:tcW w:w="17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DB1B48" w14:paraId="2A15488D" w14:textId="77777777">
            <w:pPr>
              <w:spacing w:line="360" w:lineRule="auto"/>
              <w:jc w:val="center"/>
            </w:pPr>
            <w:r>
              <w:rPr>
                <w:rFonts w:ascii="Times New Roman" w:eastAsia="新宋体" w:hAnsi="Times New Roman"/>
                <w:szCs w:val="21"/>
              </w:rPr>
              <w:t xml:space="preserve"> A</w:t>
            </w:r>
          </w:p>
        </w:tc>
        <w:tc>
          <w:tcPr>
            <w:tcW w:w="17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DB1B48" w14:paraId="0D8D1AA3" w14:textId="77777777">
            <w:pPr>
              <w:spacing w:line="360" w:lineRule="auto"/>
              <w:jc w:val="center"/>
            </w:pPr>
            <w:r>
              <w:rPr>
                <w:rFonts w:ascii="Times New Roman" w:eastAsia="新宋体" w:hAnsi="Times New Roman"/>
                <w:szCs w:val="21"/>
              </w:rPr>
              <w:t xml:space="preserve"> B</w:t>
            </w:r>
          </w:p>
        </w:tc>
        <w:tc>
          <w:tcPr>
            <w:tcW w:w="17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DB1B48" w14:paraId="79438D08" w14:textId="77777777">
            <w:pPr>
              <w:spacing w:line="360" w:lineRule="auto"/>
              <w:jc w:val="center"/>
            </w:pPr>
            <w:r>
              <w:rPr>
                <w:rFonts w:ascii="Times New Roman" w:eastAsia="新宋体" w:hAnsi="Times New Roman"/>
                <w:szCs w:val="21"/>
              </w:rPr>
              <w:t xml:space="preserve"> C</w:t>
            </w:r>
          </w:p>
        </w:tc>
        <w:tc>
          <w:tcPr>
            <w:tcW w:w="17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DB1B48" w14:paraId="2F865BBD" w14:textId="77777777">
            <w:pPr>
              <w:spacing w:line="360" w:lineRule="auto"/>
              <w:jc w:val="center"/>
            </w:pPr>
            <w:r>
              <w:rPr>
                <w:rFonts w:ascii="Times New Roman" w:eastAsia="新宋体" w:hAnsi="Times New Roman"/>
                <w:szCs w:val="21"/>
              </w:rPr>
              <w:t xml:space="preserve"> D</w:t>
            </w:r>
          </w:p>
        </w:tc>
      </w:tr>
      <w:tr w14:paraId="305E0871" w14:textId="77777777">
        <w:tblPrEx>
          <w:tblW w:w="0" w:type="auto"/>
          <w:tblInd w:w="280" w:type="dxa"/>
          <w:tblCellMar>
            <w:top w:w="30" w:type="dxa"/>
            <w:left w:w="30" w:type="dxa"/>
            <w:bottom w:w="30" w:type="dxa"/>
            <w:right w:w="30" w:type="dxa"/>
          </w:tblCellMar>
          <w:tblLook w:val="04A0"/>
        </w:tblPrEx>
        <w:tc>
          <w:tcPr>
            <w:tcW w:w="1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DB1B48" w14:paraId="79FF098D" w14:textId="77777777">
            <w:pPr>
              <w:spacing w:line="360" w:lineRule="auto"/>
              <w:jc w:val="center"/>
            </w:pPr>
            <w:r>
              <w:rPr>
                <w:rFonts w:ascii="Times New Roman" w:eastAsia="新宋体" w:hAnsi="Times New Roman"/>
                <w:szCs w:val="21"/>
              </w:rPr>
              <w:t xml:space="preserve"> </w:t>
            </w:r>
            <w:r>
              <w:rPr>
                <w:rFonts w:ascii="Times New Roman" w:eastAsia="新宋体" w:hAnsi="Times New Roman" w:hint="eastAsia"/>
                <w:szCs w:val="21"/>
              </w:rPr>
              <w:t>株高</w:t>
            </w:r>
            <w:r>
              <w:rPr>
                <w:rFonts w:ascii="Times New Roman" w:eastAsia="新宋体" w:hAnsi="Times New Roman"/>
                <w:szCs w:val="21"/>
              </w:rPr>
              <w:t>/cm</w:t>
            </w:r>
          </w:p>
        </w:tc>
        <w:tc>
          <w:tcPr>
            <w:tcW w:w="17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DB1B48" w14:paraId="481E62AE" w14:textId="77777777">
            <w:pPr>
              <w:spacing w:line="360" w:lineRule="auto"/>
              <w:jc w:val="center"/>
            </w:pPr>
            <w:r>
              <w:rPr>
                <w:rFonts w:ascii="Times New Roman" w:eastAsia="新宋体" w:hAnsi="Times New Roman"/>
                <w:szCs w:val="21"/>
              </w:rPr>
              <w:t xml:space="preserve"> 170</w:t>
            </w:r>
          </w:p>
        </w:tc>
        <w:tc>
          <w:tcPr>
            <w:tcW w:w="17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DB1B48" w14:paraId="50BC7BCF" w14:textId="77777777">
            <w:pPr>
              <w:spacing w:line="360" w:lineRule="auto"/>
              <w:jc w:val="center"/>
            </w:pPr>
            <w:r>
              <w:rPr>
                <w:rFonts w:ascii="Times New Roman" w:eastAsia="新宋体" w:hAnsi="Times New Roman"/>
                <w:szCs w:val="21"/>
              </w:rPr>
              <w:t xml:space="preserve"> 65</w:t>
            </w:r>
          </w:p>
        </w:tc>
        <w:tc>
          <w:tcPr>
            <w:tcW w:w="17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DB1B48" w14:paraId="69E6A2CB" w14:textId="77777777">
            <w:pPr>
              <w:spacing w:line="360" w:lineRule="auto"/>
              <w:jc w:val="center"/>
            </w:pPr>
            <w:r>
              <w:rPr>
                <w:rFonts w:ascii="Times New Roman" w:eastAsia="新宋体" w:hAnsi="Times New Roman"/>
                <w:szCs w:val="21"/>
              </w:rPr>
              <w:t xml:space="preserve"> 59</w:t>
            </w:r>
          </w:p>
        </w:tc>
        <w:tc>
          <w:tcPr>
            <w:tcW w:w="17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DB1B48" w14:paraId="5000237B" w14:textId="77777777">
            <w:pPr>
              <w:spacing w:line="360" w:lineRule="auto"/>
              <w:jc w:val="center"/>
            </w:pPr>
            <w:r>
              <w:rPr>
                <w:rFonts w:ascii="Times New Roman" w:eastAsia="新宋体" w:hAnsi="Times New Roman"/>
                <w:szCs w:val="21"/>
              </w:rPr>
              <w:t xml:space="preserve"> 165</w:t>
            </w:r>
          </w:p>
        </w:tc>
      </w:tr>
      <w:tr w14:paraId="03E12EB7" w14:textId="77777777">
        <w:tblPrEx>
          <w:tblW w:w="0" w:type="auto"/>
          <w:tblInd w:w="280" w:type="dxa"/>
          <w:tblCellMar>
            <w:top w:w="30" w:type="dxa"/>
            <w:left w:w="30" w:type="dxa"/>
            <w:bottom w:w="30" w:type="dxa"/>
            <w:right w:w="30" w:type="dxa"/>
          </w:tblCellMar>
          <w:tblLook w:val="04A0"/>
        </w:tblPrEx>
        <w:tc>
          <w:tcPr>
            <w:tcW w:w="1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DB1B48" w14:paraId="227699F7" w14:textId="77777777">
            <w:pPr>
              <w:spacing w:line="360" w:lineRule="auto"/>
              <w:jc w:val="center"/>
            </w:pPr>
            <w:r>
              <w:rPr>
                <w:rFonts w:ascii="Times New Roman" w:eastAsia="新宋体" w:hAnsi="Times New Roman"/>
                <w:szCs w:val="21"/>
              </w:rPr>
              <w:t xml:space="preserve"> </w:t>
            </w:r>
            <w:r>
              <w:rPr>
                <w:rFonts w:ascii="Times New Roman" w:eastAsia="新宋体" w:hAnsi="Times New Roman" w:hint="eastAsia"/>
                <w:szCs w:val="21"/>
              </w:rPr>
              <w:t>光饱和点</w:t>
            </w:r>
            <w:r>
              <w:rPr>
                <w:rFonts w:ascii="Times New Roman" w:eastAsia="新宋体" w:hAnsi="Times New Roman"/>
                <w:szCs w:val="21"/>
              </w:rPr>
              <w:t>/</w:t>
            </w:r>
            <w:r>
              <w:rPr>
                <w:rFonts w:ascii="Cambria Math" w:eastAsia="Cambria Math" w:hAnsi="Cambria Math"/>
                <w:szCs w:val="21"/>
              </w:rPr>
              <w:t>μ</w:t>
            </w:r>
            <w:r>
              <w:rPr>
                <w:rFonts w:ascii="Times New Roman" w:eastAsia="新宋体" w:hAnsi="Times New Roman"/>
                <w:szCs w:val="21"/>
              </w:rPr>
              <w:t>mol</w:t>
            </w:r>
            <w:r>
              <w:rPr>
                <w:rFonts w:ascii="Times New Roman" w:eastAsia="新宋体" w:hAnsi="Times New Roman" w:hint="eastAsia"/>
                <w:szCs w:val="21"/>
              </w:rPr>
              <w:t>•</w:t>
            </w:r>
            <w:r>
              <w:rPr>
                <w:rFonts w:ascii="Times New Roman" w:eastAsia="新宋体" w:hAnsi="Times New Roman"/>
                <w:szCs w:val="21"/>
              </w:rPr>
              <w:t>m</w:t>
            </w:r>
            <w:r>
              <w:rPr>
                <w:rFonts w:ascii="Times New Roman" w:eastAsia="新宋体" w:hAnsi="Times New Roman" w:hint="eastAsia"/>
                <w:sz w:val="24"/>
                <w:szCs w:val="24"/>
                <w:vertAlign w:val="superscript"/>
              </w:rPr>
              <w:t>﹣</w:t>
            </w:r>
            <w:r>
              <w:rPr>
                <w:rFonts w:ascii="Times New Roman" w:eastAsia="新宋体" w:hAnsi="Times New Roman"/>
                <w:sz w:val="24"/>
                <w:szCs w:val="24"/>
                <w:vertAlign w:val="superscript"/>
              </w:rPr>
              <w:t>2</w:t>
            </w:r>
            <w:r>
              <w:rPr>
                <w:rFonts w:ascii="Times New Roman" w:eastAsia="新宋体" w:hAnsi="Times New Roman" w:hint="eastAsia"/>
                <w:szCs w:val="21"/>
              </w:rPr>
              <w:t>•</w:t>
            </w:r>
            <w:r>
              <w:rPr>
                <w:rFonts w:ascii="Times New Roman" w:eastAsia="新宋体" w:hAnsi="Times New Roman"/>
                <w:szCs w:val="21"/>
              </w:rPr>
              <w:t>s</w:t>
            </w:r>
            <w:r>
              <w:rPr>
                <w:rFonts w:ascii="Times New Roman" w:eastAsia="新宋体" w:hAnsi="Times New Roman" w:hint="eastAsia"/>
                <w:sz w:val="24"/>
                <w:szCs w:val="24"/>
                <w:vertAlign w:val="superscript"/>
              </w:rPr>
              <w:t>﹣</w:t>
            </w:r>
            <w:r>
              <w:rPr>
                <w:rFonts w:ascii="Times New Roman" w:eastAsia="新宋体" w:hAnsi="Times New Roman"/>
                <w:sz w:val="24"/>
                <w:szCs w:val="24"/>
                <w:vertAlign w:val="superscript"/>
              </w:rPr>
              <w:t>1</w:t>
            </w:r>
          </w:p>
        </w:tc>
        <w:tc>
          <w:tcPr>
            <w:tcW w:w="17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DB1B48" w14:paraId="3AFD5413" w14:textId="77777777">
            <w:pPr>
              <w:spacing w:line="360" w:lineRule="auto"/>
              <w:jc w:val="center"/>
            </w:pPr>
            <w:r>
              <w:rPr>
                <w:rFonts w:ascii="Times New Roman" w:eastAsia="新宋体" w:hAnsi="Times New Roman"/>
                <w:szCs w:val="21"/>
              </w:rPr>
              <w:t xml:space="preserve"> 1200</w:t>
            </w:r>
          </w:p>
        </w:tc>
        <w:tc>
          <w:tcPr>
            <w:tcW w:w="17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DB1B48" w14:paraId="238F3159" w14:textId="77777777">
            <w:pPr>
              <w:spacing w:line="360" w:lineRule="auto"/>
              <w:jc w:val="center"/>
            </w:pPr>
            <w:r>
              <w:rPr>
                <w:rFonts w:ascii="Times New Roman" w:eastAsia="新宋体" w:hAnsi="Times New Roman"/>
                <w:szCs w:val="21"/>
              </w:rPr>
              <w:t xml:space="preserve"> 1180</w:t>
            </w:r>
          </w:p>
        </w:tc>
        <w:tc>
          <w:tcPr>
            <w:tcW w:w="17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DB1B48" w14:paraId="4764F202" w14:textId="77777777">
            <w:pPr>
              <w:spacing w:line="360" w:lineRule="auto"/>
              <w:jc w:val="center"/>
            </w:pPr>
            <w:r>
              <w:rPr>
                <w:rFonts w:ascii="Times New Roman" w:eastAsia="新宋体" w:hAnsi="Times New Roman"/>
                <w:szCs w:val="21"/>
              </w:rPr>
              <w:t xml:space="preserve"> 560</w:t>
            </w:r>
          </w:p>
        </w:tc>
        <w:tc>
          <w:tcPr>
            <w:tcW w:w="17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hideMark/>
          </w:tcPr>
          <w:p w:rsidR="00DB1B48" w14:paraId="06A505EE" w14:textId="77777777">
            <w:pPr>
              <w:spacing w:line="360" w:lineRule="auto"/>
              <w:jc w:val="center"/>
            </w:pPr>
            <w:r>
              <w:rPr>
                <w:rFonts w:ascii="Times New Roman" w:eastAsia="新宋体" w:hAnsi="Times New Roman"/>
                <w:szCs w:val="21"/>
              </w:rPr>
              <w:t xml:space="preserve"> 623</w:t>
            </w:r>
          </w:p>
        </w:tc>
      </w:tr>
    </w:tbl>
    <w:p w:rsidR="00DB1B48" w:rsidP="00DB1B48" w14:paraId="70C9DF3F" w14:textId="77777777">
      <w:pPr>
        <w:spacing w:line="360" w:lineRule="auto"/>
        <w:ind w:left="273" w:hanging="273" w:hangingChars="130"/>
      </w:pPr>
      <w:r>
        <w:rPr>
          <w:rFonts w:ascii="Times New Roman" w:eastAsia="新宋体" w:hAnsi="Times New Roman"/>
          <w:szCs w:val="21"/>
        </w:rPr>
        <w:t>9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/>
          <w:szCs w:val="21"/>
        </w:rPr>
        <w:t>10</w:t>
      </w:r>
      <w:r>
        <w:rPr>
          <w:rFonts w:ascii="Times New Roman" w:eastAsia="新宋体" w:hAnsi="Times New Roman" w:hint="eastAsia"/>
          <w:szCs w:val="21"/>
        </w:rPr>
        <w:t>分）某研究人员用药物</w:t>
      </w:r>
      <w:r>
        <w:rPr>
          <w:rFonts w:ascii="Times New Roman" w:eastAsia="新宋体" w:hAnsi="Times New Roman"/>
          <w:szCs w:val="21"/>
        </w:rPr>
        <w:t>W</w:t>
      </w:r>
      <w:r>
        <w:rPr>
          <w:rFonts w:ascii="Times New Roman" w:eastAsia="新宋体" w:hAnsi="Times New Roman" w:hint="eastAsia"/>
          <w:szCs w:val="21"/>
        </w:rPr>
        <w:t>进行了如下实验：给甲组大鼠注射药物</w:t>
      </w:r>
      <w:r>
        <w:rPr>
          <w:rFonts w:ascii="Times New Roman" w:eastAsia="新宋体" w:hAnsi="Times New Roman"/>
          <w:szCs w:val="21"/>
        </w:rPr>
        <w:t>W</w:t>
      </w:r>
      <w:r>
        <w:rPr>
          <w:rFonts w:ascii="Times New Roman" w:eastAsia="新宋体" w:hAnsi="Times New Roman" w:hint="eastAsia"/>
          <w:szCs w:val="21"/>
        </w:rPr>
        <w:t>，乙组大鼠注射等量生理盐水，饲养一段时间后，测定两组大鼠的相关生理指标。实验结果表明：乙组大鼠无显著变化；与乙组大鼠相比，甲组大鼠的血糖浓度升高，尿中葡萄糖含量增加，进食量增加，体重下降。回答下列问题：</w:t>
      </w:r>
    </w:p>
    <w:p w:rsidR="00DB1B48" w:rsidP="00DB1B48" w14:paraId="0B8659A5" w14:textId="77777777">
      <w:pPr>
        <w:spacing w:line="360" w:lineRule="auto"/>
        <w:ind w:left="273" w:leftChars="130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）由上述实验结果可推测，药物</w:t>
      </w:r>
      <w:r>
        <w:rPr>
          <w:rFonts w:ascii="Times New Roman" w:eastAsia="新宋体" w:hAnsi="Times New Roman"/>
          <w:szCs w:val="21"/>
        </w:rPr>
        <w:t>W</w:t>
      </w:r>
      <w:r>
        <w:rPr>
          <w:rFonts w:ascii="Times New Roman" w:eastAsia="新宋体" w:hAnsi="Times New Roman" w:hint="eastAsia"/>
          <w:szCs w:val="21"/>
        </w:rPr>
        <w:t>破坏了胰腺中的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 w:hint="eastAsia"/>
          <w:szCs w:val="21"/>
        </w:rPr>
        <w:t>细胞，使细胞失去功能，从而导致血糖浓度升高。</w:t>
      </w:r>
    </w:p>
    <w:p w:rsidR="00DB1B48" w:rsidP="00DB1B48" w14:paraId="3C29B5D4" w14:textId="77777777">
      <w:pPr>
        <w:spacing w:line="360" w:lineRule="auto"/>
        <w:ind w:left="273" w:leftChars="130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）由上述实验结果还可推测，甲组大鼠肾小管液中的葡萄糖含量增加，导致肾小管液的渗透压比正常时的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 w:hint="eastAsia"/>
          <w:szCs w:val="21"/>
        </w:rPr>
        <w:t>，从而使该组大鼠的排尿量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 w:hint="eastAsia"/>
          <w:szCs w:val="21"/>
        </w:rPr>
        <w:t>。</w:t>
      </w:r>
    </w:p>
    <w:p w:rsidR="00DB1B48" w:rsidP="00DB1B48" w14:paraId="27316A46" w14:textId="77777777">
      <w:pPr>
        <w:spacing w:line="360" w:lineRule="auto"/>
        <w:ind w:left="273" w:leftChars="130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）实验中测量到甲组大鼠体重下降，推测体重下降的原因是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 w:hint="eastAsia"/>
          <w:szCs w:val="21"/>
        </w:rPr>
        <w:t>。</w:t>
      </w:r>
    </w:p>
    <w:p w:rsidR="00DB1B48" w:rsidP="00DB1B48" w14:paraId="2DC6B441" w14:textId="77777777">
      <w:pPr>
        <w:spacing w:line="360" w:lineRule="auto"/>
        <w:ind w:left="273" w:leftChars="130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/>
          <w:szCs w:val="21"/>
        </w:rPr>
        <w:t>4</w:t>
      </w:r>
      <w:r>
        <w:rPr>
          <w:rFonts w:ascii="Times New Roman" w:eastAsia="新宋体" w:hAnsi="Times New Roman" w:hint="eastAsia"/>
          <w:szCs w:val="21"/>
        </w:rPr>
        <w:t>）若上述推测都成立，那么该实验的研究意义是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 w:hint="eastAsia"/>
          <w:szCs w:val="21"/>
        </w:rPr>
        <w:t>（答出</w:t>
      </w:r>
      <w:r>
        <w:rPr>
          <w:rFonts w:ascii="Times New Roman" w:eastAsia="新宋体" w:hAnsi="Times New Roman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点即可）。</w:t>
      </w:r>
    </w:p>
    <w:p w:rsidR="00DB1B48" w:rsidP="00DB1B48" w14:paraId="3AFDFDA0" w14:textId="77777777">
      <w:pPr>
        <w:spacing w:line="360" w:lineRule="auto"/>
        <w:ind w:left="273" w:hanging="273" w:hangingChars="130"/>
      </w:pPr>
      <w:r>
        <w:rPr>
          <w:rFonts w:ascii="Times New Roman" w:eastAsia="新宋体" w:hAnsi="Times New Roman"/>
          <w:szCs w:val="21"/>
        </w:rPr>
        <w:t>10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/>
          <w:szCs w:val="21"/>
        </w:rPr>
        <w:t>9</w:t>
      </w:r>
      <w:r>
        <w:rPr>
          <w:rFonts w:ascii="Times New Roman" w:eastAsia="新宋体" w:hAnsi="Times New Roman" w:hint="eastAsia"/>
          <w:szCs w:val="21"/>
        </w:rPr>
        <w:t>分）遗传学理论可用于指导农业生产实践。回答下列问题：</w:t>
      </w:r>
    </w:p>
    <w:p w:rsidR="00DB1B48" w:rsidP="00DB1B48" w14:paraId="3CF7BF10" w14:textId="77777777">
      <w:pPr>
        <w:spacing w:line="360" w:lineRule="auto"/>
        <w:ind w:left="273" w:leftChars="130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）生物体进行有性生殖形成配子的过程中，在不发生染色体结构变异的情况下，产生基因重新组合的途径有两条，分别是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 w:hint="eastAsia"/>
          <w:szCs w:val="21"/>
        </w:rPr>
        <w:t>。</w:t>
      </w:r>
    </w:p>
    <w:p w:rsidR="00DB1B48" w:rsidP="00DB1B48" w14:paraId="07699DC9" w14:textId="77777777">
      <w:pPr>
        <w:spacing w:line="360" w:lineRule="auto"/>
        <w:ind w:left="273" w:leftChars="130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）在诱变育种过程中，通过诱变获得的新性状一般不能稳定遗传，原因是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 w:hint="eastAsia"/>
          <w:szCs w:val="21"/>
        </w:rPr>
        <w:t>，若要使诱变获得的性状能够稳定遗传，需要采取的措施是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 w:hint="eastAsia"/>
          <w:szCs w:val="21"/>
        </w:rPr>
        <w:t>。</w:t>
      </w:r>
    </w:p>
    <w:p w:rsidR="00DB1B48" w:rsidP="00DB1B48" w14:paraId="79D6DABE" w14:textId="77777777">
      <w:pPr>
        <w:spacing w:line="360" w:lineRule="auto"/>
      </w:pPr>
      <w:r>
        <w:rPr>
          <w:rFonts w:ascii="Times New Roman" w:eastAsia="新宋体" w:hAnsi="Times New Roman" w:hint="eastAsia"/>
          <w:b/>
          <w:szCs w:val="21"/>
        </w:rPr>
        <w:t>（二）选考题：共</w:t>
      </w:r>
      <w:r>
        <w:rPr>
          <w:rFonts w:ascii="Times New Roman" w:eastAsia="新宋体" w:hAnsi="Times New Roman"/>
          <w:b/>
          <w:szCs w:val="21"/>
        </w:rPr>
        <w:t>15</w:t>
      </w:r>
      <w:r>
        <w:rPr>
          <w:rFonts w:ascii="Times New Roman" w:eastAsia="新宋体" w:hAnsi="Times New Roman" w:hint="eastAsia"/>
          <w:b/>
          <w:szCs w:val="21"/>
        </w:rPr>
        <w:t>分。请考生从</w:t>
      </w:r>
      <w:r>
        <w:rPr>
          <w:rFonts w:ascii="Times New Roman" w:eastAsia="新宋体" w:hAnsi="Times New Roman"/>
          <w:b/>
          <w:szCs w:val="21"/>
        </w:rPr>
        <w:t>2</w:t>
      </w:r>
      <w:r>
        <w:rPr>
          <w:rFonts w:ascii="Times New Roman" w:eastAsia="新宋体" w:hAnsi="Times New Roman" w:hint="eastAsia"/>
          <w:b/>
          <w:szCs w:val="21"/>
        </w:rPr>
        <w:t>道生物题中任选一题作答。如果多做，则每科按所做的第一题计分。</w:t>
      </w:r>
      <w:r>
        <w:rPr>
          <w:rFonts w:ascii="Times New Roman" w:eastAsia="新宋体" w:hAnsi="Times New Roman"/>
          <w:b/>
          <w:szCs w:val="21"/>
        </w:rPr>
        <w:t>[</w:t>
      </w:r>
      <w:r>
        <w:rPr>
          <w:rFonts w:ascii="Times New Roman" w:eastAsia="新宋体" w:hAnsi="Times New Roman" w:hint="eastAsia"/>
          <w:b/>
          <w:szCs w:val="21"/>
        </w:rPr>
        <w:t>生物</w:t>
      </w:r>
      <w:r>
        <w:rPr>
          <w:rFonts w:ascii="Times New Roman" w:eastAsia="新宋体" w:hAnsi="Times New Roman"/>
          <w:b/>
          <w:szCs w:val="21"/>
        </w:rPr>
        <w:t>--</w:t>
      </w:r>
      <w:r>
        <w:rPr>
          <w:rFonts w:ascii="Times New Roman" w:eastAsia="新宋体" w:hAnsi="Times New Roman" w:hint="eastAsia"/>
          <w:b/>
          <w:szCs w:val="21"/>
        </w:rPr>
        <w:t>选修</w:t>
      </w:r>
      <w:r>
        <w:rPr>
          <w:rFonts w:ascii="Times New Roman" w:eastAsia="新宋体" w:hAnsi="Times New Roman"/>
          <w:b/>
          <w:szCs w:val="21"/>
        </w:rPr>
        <w:t>1</w:t>
      </w:r>
      <w:r>
        <w:rPr>
          <w:rFonts w:ascii="Times New Roman" w:eastAsia="新宋体" w:hAnsi="Times New Roman" w:hint="eastAsia"/>
          <w:b/>
          <w:szCs w:val="21"/>
        </w:rPr>
        <w:t>：生物技术实践</w:t>
      </w:r>
      <w:r>
        <w:rPr>
          <w:rFonts w:ascii="Times New Roman" w:eastAsia="新宋体" w:hAnsi="Times New Roman"/>
          <w:b/>
          <w:szCs w:val="21"/>
        </w:rPr>
        <w:t>]</w:t>
      </w:r>
      <w:r>
        <w:rPr>
          <w:rFonts w:ascii="Times New Roman" w:eastAsia="新宋体" w:hAnsi="Times New Roman" w:hint="eastAsia"/>
          <w:b/>
          <w:szCs w:val="21"/>
        </w:rPr>
        <w:t>（</w:t>
      </w:r>
      <w:r>
        <w:rPr>
          <w:rFonts w:ascii="Times New Roman" w:eastAsia="新宋体" w:hAnsi="Times New Roman"/>
          <w:b/>
          <w:szCs w:val="21"/>
        </w:rPr>
        <w:t>15</w:t>
      </w:r>
      <w:r>
        <w:rPr>
          <w:rFonts w:ascii="Times New Roman" w:eastAsia="新宋体" w:hAnsi="Times New Roman" w:hint="eastAsia"/>
          <w:b/>
          <w:szCs w:val="21"/>
        </w:rPr>
        <w:t>分）</w:t>
      </w:r>
    </w:p>
    <w:p w:rsidR="00DB1B48" w:rsidP="00DB1B48" w14:paraId="4292AA1A" w14:textId="77777777">
      <w:pPr>
        <w:spacing w:line="360" w:lineRule="auto"/>
        <w:ind w:left="273" w:hanging="273" w:hangingChars="130"/>
      </w:pPr>
      <w:r>
        <w:rPr>
          <w:rFonts w:ascii="Times New Roman" w:eastAsia="新宋体" w:hAnsi="Times New Roman"/>
          <w:szCs w:val="21"/>
        </w:rPr>
        <w:t>11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/>
          <w:szCs w:val="21"/>
        </w:rPr>
        <w:t>15</w:t>
      </w:r>
      <w:r>
        <w:rPr>
          <w:rFonts w:ascii="Times New Roman" w:eastAsia="新宋体" w:hAnsi="Times New Roman" w:hint="eastAsia"/>
          <w:szCs w:val="21"/>
        </w:rPr>
        <w:t>分）某种物质</w:t>
      </w:r>
      <w:r>
        <w:rPr>
          <w:rFonts w:ascii="Times New Roman" w:eastAsia="新宋体" w:hAnsi="Times New Roman"/>
          <w:szCs w:val="21"/>
        </w:rPr>
        <w:t>S</w:t>
      </w:r>
      <w:r>
        <w:rPr>
          <w:rFonts w:ascii="Times New Roman" w:eastAsia="新宋体" w:hAnsi="Times New Roman" w:hint="eastAsia"/>
          <w:szCs w:val="21"/>
        </w:rPr>
        <w:t>（一种含有</w:t>
      </w:r>
      <w:r>
        <w:rPr>
          <w:rFonts w:ascii="Times New Roman" w:eastAsia="新宋体" w:hAnsi="Times New Roman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/>
          <w:szCs w:val="21"/>
        </w:rPr>
        <w:t>H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/>
          <w:szCs w:val="21"/>
        </w:rPr>
        <w:t>N</w:t>
      </w:r>
      <w:r>
        <w:rPr>
          <w:rFonts w:ascii="Times New Roman" w:eastAsia="新宋体" w:hAnsi="Times New Roman" w:hint="eastAsia"/>
          <w:szCs w:val="21"/>
        </w:rPr>
        <w:t>的有机物）难以降解，会对环境造成污染，只有某些细菌能降解</w:t>
      </w:r>
      <w:r>
        <w:rPr>
          <w:rFonts w:ascii="Times New Roman" w:eastAsia="新宋体" w:hAnsi="Times New Roman"/>
          <w:szCs w:val="21"/>
        </w:rPr>
        <w:t>S</w:t>
      </w:r>
      <w:r>
        <w:rPr>
          <w:rFonts w:ascii="Times New Roman" w:eastAsia="新宋体" w:hAnsi="Times New Roman" w:hint="eastAsia"/>
          <w:szCs w:val="21"/>
        </w:rPr>
        <w:t>．研究人员按照如图所示流程从淤泥中分离得到能高效降解</w:t>
      </w:r>
      <w:r>
        <w:rPr>
          <w:rFonts w:ascii="Times New Roman" w:eastAsia="新宋体" w:hAnsi="Times New Roman"/>
          <w:szCs w:val="21"/>
        </w:rPr>
        <w:t>S</w:t>
      </w:r>
      <w:r>
        <w:rPr>
          <w:rFonts w:ascii="Times New Roman" w:eastAsia="新宋体" w:hAnsi="Times New Roman" w:hint="eastAsia"/>
          <w:szCs w:val="21"/>
        </w:rPr>
        <w:t>的细菌菌株。实验过程中需要甲、乙两种培养基，甲的组分为无机盐、水和</w:t>
      </w:r>
      <w:r>
        <w:rPr>
          <w:rFonts w:ascii="Times New Roman" w:eastAsia="新宋体" w:hAnsi="Times New Roman"/>
          <w:szCs w:val="21"/>
        </w:rPr>
        <w:t>S</w:t>
      </w:r>
      <w:r>
        <w:rPr>
          <w:rFonts w:ascii="Times New Roman" w:eastAsia="新宋体" w:hAnsi="Times New Roman" w:hint="eastAsia"/>
          <w:szCs w:val="21"/>
        </w:rPr>
        <w:t>，乙的组分为无</w:t>
      </w:r>
      <w:r>
        <w:rPr>
          <w:rFonts w:ascii="Times New Roman" w:eastAsia="新宋体" w:hAnsi="Times New Roman" w:hint="eastAsia"/>
          <w:szCs w:val="21"/>
        </w:rPr>
        <w:t>机盐、水、</w:t>
      </w:r>
      <w:r>
        <w:rPr>
          <w:rFonts w:ascii="Times New Roman" w:eastAsia="新宋体" w:hAnsi="Times New Roman"/>
          <w:szCs w:val="21"/>
        </w:rPr>
        <w:t>S</w:t>
      </w:r>
      <w:r>
        <w:rPr>
          <w:rFonts w:ascii="Times New Roman" w:eastAsia="新宋体" w:hAnsi="Times New Roman" w:hint="eastAsia"/>
          <w:szCs w:val="21"/>
        </w:rPr>
        <w:t>和</w:t>
      </w:r>
      <w:r>
        <w:rPr>
          <w:rFonts w:ascii="Times New Roman" w:eastAsia="新宋体" w:hAnsi="Times New Roman"/>
          <w:szCs w:val="21"/>
        </w:rPr>
        <w:t>Y</w:t>
      </w:r>
      <w:r>
        <w:rPr>
          <w:rFonts w:ascii="Times New Roman" w:eastAsia="新宋体" w:hAnsi="Times New Roman" w:hint="eastAsia"/>
          <w:szCs w:val="21"/>
        </w:rPr>
        <w:t>。</w:t>
      </w:r>
    </w:p>
    <w:p w:rsidR="00DB1B48" w:rsidP="00DB1B48" w14:paraId="0F9483AF" w14:textId="27E6D170">
      <w:pPr>
        <w:spacing w:line="360" w:lineRule="auto"/>
        <w:ind w:left="273" w:leftChars="130"/>
      </w:pPr>
      <w:r>
        <w:rPr>
          <w:rFonts w:ascii="Times New Roman" w:eastAsia="新宋体" w:hAnsi="Times New Roman"/>
          <w:noProof/>
          <w:szCs w:val="21"/>
        </w:rPr>
        <w:drawing>
          <wp:inline distT="0" distB="0" distL="0" distR="0">
            <wp:extent cx="5274310" cy="931545"/>
            <wp:effectExtent l="0" t="0" r="2540" b="1905"/>
            <wp:docPr id="2" name="图片 2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24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4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931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B1B48" w:rsidP="00DB1B48" w14:paraId="4F8C9B0D" w14:textId="77777777">
      <w:pPr>
        <w:spacing w:line="360" w:lineRule="auto"/>
        <w:ind w:left="273" w:leftChars="130"/>
      </w:pPr>
      <w:r>
        <w:rPr>
          <w:rFonts w:ascii="Times New Roman" w:eastAsia="新宋体" w:hAnsi="Times New Roman" w:hint="eastAsia"/>
          <w:szCs w:val="21"/>
        </w:rPr>
        <w:t>回答下列问题：</w:t>
      </w:r>
    </w:p>
    <w:p w:rsidR="00DB1B48" w:rsidP="00DB1B48" w14:paraId="602530B1" w14:textId="77777777">
      <w:pPr>
        <w:spacing w:line="360" w:lineRule="auto"/>
        <w:ind w:left="273" w:leftChars="130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）实验时，盛有水或培养基的摇瓶通常采用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 w:hint="eastAsia"/>
          <w:szCs w:val="21"/>
        </w:rPr>
        <w:t>的方法进行灭菌。乙培养基中的</w:t>
      </w:r>
      <w:r>
        <w:rPr>
          <w:rFonts w:ascii="Times New Roman" w:eastAsia="新宋体" w:hAnsi="Times New Roman"/>
          <w:szCs w:val="21"/>
        </w:rPr>
        <w:t>Y</w:t>
      </w:r>
      <w:r>
        <w:rPr>
          <w:rFonts w:ascii="Times New Roman" w:eastAsia="新宋体" w:hAnsi="Times New Roman" w:hint="eastAsia"/>
          <w:szCs w:val="21"/>
        </w:rPr>
        <w:t>物质是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 w:hint="eastAsia"/>
          <w:szCs w:val="21"/>
        </w:rPr>
        <w:t>。甲、乙培养基均属于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 w:hint="eastAsia"/>
          <w:szCs w:val="21"/>
        </w:rPr>
        <w:t>培养基。</w:t>
      </w:r>
    </w:p>
    <w:p w:rsidR="00DB1B48" w:rsidP="00DB1B48" w14:paraId="0DC9D085" w14:textId="77777777">
      <w:pPr>
        <w:spacing w:line="360" w:lineRule="auto"/>
        <w:ind w:left="273" w:leftChars="130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）实验中初步估测摇瓶</w:t>
      </w:r>
      <w:r>
        <w:rPr>
          <w:rFonts w:ascii="Times New Roman" w:eastAsia="新宋体" w:hAnsi="Times New Roman"/>
          <w:szCs w:val="21"/>
        </w:rPr>
        <w:t>M</w:t>
      </w:r>
      <w:r>
        <w:rPr>
          <w:rFonts w:ascii="Times New Roman" w:eastAsia="新宋体" w:hAnsi="Times New Roman" w:hint="eastAsia"/>
          <w:szCs w:val="21"/>
        </w:rPr>
        <w:t>中细菌细胞数为</w:t>
      </w:r>
      <w:r>
        <w:rPr>
          <w:rFonts w:ascii="Times New Roman" w:eastAsia="新宋体" w:hAnsi="Times New Roman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×</w:t>
      </w:r>
      <w:r>
        <w:rPr>
          <w:rFonts w:ascii="Times New Roman" w:eastAsia="新宋体" w:hAnsi="Times New Roman"/>
          <w:szCs w:val="21"/>
        </w:rPr>
        <w:t>10</w:t>
      </w:r>
      <w:r>
        <w:rPr>
          <w:rFonts w:ascii="Times New Roman" w:eastAsia="新宋体" w:hAnsi="Times New Roman"/>
          <w:sz w:val="24"/>
          <w:szCs w:val="24"/>
          <w:vertAlign w:val="superscript"/>
        </w:rPr>
        <w:t>7</w:t>
      </w:r>
      <w:r>
        <w:rPr>
          <w:rFonts w:ascii="Times New Roman" w:eastAsia="新宋体" w:hAnsi="Times New Roman" w:hint="eastAsia"/>
          <w:szCs w:val="21"/>
        </w:rPr>
        <w:t>个</w:t>
      </w:r>
      <w:r>
        <w:rPr>
          <w:rFonts w:ascii="Times New Roman" w:eastAsia="新宋体" w:hAnsi="Times New Roman"/>
          <w:szCs w:val="21"/>
        </w:rPr>
        <w:t>/mL</w:t>
      </w:r>
      <w:r>
        <w:rPr>
          <w:rFonts w:ascii="Times New Roman" w:eastAsia="新宋体" w:hAnsi="Times New Roman" w:hint="eastAsia"/>
          <w:szCs w:val="21"/>
        </w:rPr>
        <w:t>，若要在每个平板上涂布</w:t>
      </w:r>
      <w:r>
        <w:rPr>
          <w:rFonts w:ascii="Times New Roman" w:eastAsia="新宋体" w:hAnsi="Times New Roman"/>
          <w:szCs w:val="21"/>
        </w:rPr>
        <w:t>100</w:t>
      </w:r>
      <w:r>
        <w:rPr>
          <w:rFonts w:ascii="Cambria Math" w:eastAsia="Cambria Math" w:hAnsi="Cambria Math"/>
          <w:szCs w:val="21"/>
        </w:rPr>
        <w:t>μ</w:t>
      </w:r>
      <w:r>
        <w:rPr>
          <w:rFonts w:ascii="Times New Roman" w:eastAsia="新宋体" w:hAnsi="Times New Roman"/>
          <w:szCs w:val="21"/>
        </w:rPr>
        <w:t>L</w:t>
      </w:r>
      <w:r>
        <w:rPr>
          <w:rFonts w:ascii="Times New Roman" w:eastAsia="新宋体" w:hAnsi="Times New Roman" w:hint="eastAsia"/>
          <w:szCs w:val="21"/>
        </w:rPr>
        <w:t>稀释后的菌液，且保证每个平板上长出的菌落数不超过</w:t>
      </w:r>
      <w:r>
        <w:rPr>
          <w:rFonts w:ascii="Times New Roman" w:eastAsia="新宋体" w:hAnsi="Times New Roman"/>
          <w:szCs w:val="21"/>
        </w:rPr>
        <w:t>200</w:t>
      </w:r>
      <w:r>
        <w:rPr>
          <w:rFonts w:ascii="Times New Roman" w:eastAsia="新宋体" w:hAnsi="Times New Roman" w:hint="eastAsia"/>
          <w:szCs w:val="21"/>
        </w:rPr>
        <w:t>个，则至少应将摇瓶</w:t>
      </w:r>
      <w:r>
        <w:rPr>
          <w:rFonts w:ascii="Times New Roman" w:eastAsia="新宋体" w:hAnsi="Times New Roman"/>
          <w:szCs w:val="21"/>
        </w:rPr>
        <w:t>M</w:t>
      </w:r>
      <w:r>
        <w:rPr>
          <w:rFonts w:ascii="Times New Roman" w:eastAsia="新宋体" w:hAnsi="Times New Roman" w:hint="eastAsia"/>
          <w:szCs w:val="21"/>
        </w:rPr>
        <w:t>中的菌液稀释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 w:hint="eastAsia"/>
          <w:szCs w:val="21"/>
        </w:rPr>
        <w:t>倍。</w:t>
      </w:r>
    </w:p>
    <w:p w:rsidR="00DB1B48" w:rsidP="00DB1B48" w14:paraId="1251261B" w14:textId="77777777">
      <w:pPr>
        <w:spacing w:line="360" w:lineRule="auto"/>
        <w:ind w:left="273" w:leftChars="130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）在步骤</w:t>
      </w:r>
      <w:r>
        <w:rPr>
          <w:rFonts w:ascii="Cambria Math" w:eastAsia="Cambria Math" w:hAnsi="Cambria Math"/>
          <w:szCs w:val="21"/>
        </w:rPr>
        <w:t>⑤</w:t>
      </w:r>
      <w:r>
        <w:rPr>
          <w:rFonts w:ascii="Times New Roman" w:eastAsia="新宋体" w:hAnsi="Times New Roman" w:hint="eastAsia"/>
          <w:szCs w:val="21"/>
        </w:rPr>
        <w:t>的筛选过程中，发现当培养基中的</w:t>
      </w:r>
      <w:r>
        <w:rPr>
          <w:rFonts w:ascii="Times New Roman" w:eastAsia="新宋体" w:hAnsi="Times New Roman"/>
          <w:szCs w:val="21"/>
        </w:rPr>
        <w:t>S</w:t>
      </w:r>
      <w:r>
        <w:rPr>
          <w:rFonts w:ascii="Times New Roman" w:eastAsia="新宋体" w:hAnsi="Times New Roman" w:hint="eastAsia"/>
          <w:szCs w:val="21"/>
        </w:rPr>
        <w:t>超过某一浓度时，某菌株对</w:t>
      </w:r>
      <w:r>
        <w:rPr>
          <w:rFonts w:ascii="Times New Roman" w:eastAsia="新宋体" w:hAnsi="Times New Roman"/>
          <w:szCs w:val="21"/>
        </w:rPr>
        <w:t>S</w:t>
      </w:r>
      <w:r>
        <w:rPr>
          <w:rFonts w:ascii="Times New Roman" w:eastAsia="新宋体" w:hAnsi="Times New Roman" w:hint="eastAsia"/>
          <w:szCs w:val="21"/>
        </w:rPr>
        <w:t>的降解量反而下降，其原因可能是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 w:hint="eastAsia"/>
          <w:szCs w:val="21"/>
        </w:rPr>
        <w:t>（答出</w:t>
      </w:r>
      <w:r>
        <w:rPr>
          <w:rFonts w:ascii="Times New Roman" w:eastAsia="新宋体" w:hAnsi="Times New Roman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点即可）。</w:t>
      </w:r>
    </w:p>
    <w:p w:rsidR="00DB1B48" w:rsidP="00DB1B48" w14:paraId="4E2F9E98" w14:textId="77777777">
      <w:pPr>
        <w:spacing w:line="360" w:lineRule="auto"/>
        <w:ind w:left="273" w:leftChars="130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/>
          <w:szCs w:val="21"/>
        </w:rPr>
        <w:t>4</w:t>
      </w:r>
      <w:r>
        <w:rPr>
          <w:rFonts w:ascii="Times New Roman" w:eastAsia="新宋体" w:hAnsi="Times New Roman" w:hint="eastAsia"/>
          <w:szCs w:val="21"/>
        </w:rPr>
        <w:t>）若要测定淤泥中能降解</w:t>
      </w:r>
      <w:r>
        <w:rPr>
          <w:rFonts w:ascii="Times New Roman" w:eastAsia="新宋体" w:hAnsi="Times New Roman"/>
          <w:szCs w:val="21"/>
        </w:rPr>
        <w:t>S</w:t>
      </w:r>
      <w:r>
        <w:rPr>
          <w:rFonts w:ascii="Times New Roman" w:eastAsia="新宋体" w:hAnsi="Times New Roman" w:hint="eastAsia"/>
          <w:szCs w:val="21"/>
        </w:rPr>
        <w:t>的细菌细胞数，请写出主要实验步骤：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 w:hint="eastAsia"/>
          <w:szCs w:val="21"/>
        </w:rPr>
        <w:t>。</w:t>
      </w:r>
    </w:p>
    <w:p w:rsidR="00DB1B48" w:rsidP="00DB1B48" w14:paraId="13E3FD52" w14:textId="77777777">
      <w:pPr>
        <w:spacing w:line="360" w:lineRule="auto"/>
        <w:ind w:left="273" w:leftChars="130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/>
          <w:szCs w:val="21"/>
        </w:rPr>
        <w:t>5</w:t>
      </w:r>
      <w:r>
        <w:rPr>
          <w:rFonts w:ascii="Times New Roman" w:eastAsia="新宋体" w:hAnsi="Times New Roman" w:hint="eastAsia"/>
          <w:szCs w:val="21"/>
        </w:rPr>
        <w:t>）上述实验中，甲、乙两种培养基所含有的组分虽然不同，但都能为细菌的生长提供</w:t>
      </w:r>
      <w:r>
        <w:rPr>
          <w:rFonts w:ascii="Times New Roman" w:eastAsia="新宋体" w:hAnsi="Times New Roman"/>
          <w:szCs w:val="21"/>
        </w:rPr>
        <w:t>4</w:t>
      </w:r>
      <w:r>
        <w:rPr>
          <w:rFonts w:ascii="Times New Roman" w:eastAsia="新宋体" w:hAnsi="Times New Roman" w:hint="eastAsia"/>
          <w:szCs w:val="21"/>
        </w:rPr>
        <w:t>类营养物质，即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 w:hint="eastAsia"/>
          <w:szCs w:val="21"/>
        </w:rPr>
        <w:t>。</w:t>
      </w:r>
    </w:p>
    <w:p w:rsidR="00DB1B48" w:rsidP="00DB1B48" w14:paraId="2C79ECEF" w14:textId="77777777">
      <w:pPr>
        <w:spacing w:line="360" w:lineRule="auto"/>
      </w:pPr>
      <w:r>
        <w:rPr>
          <w:rFonts w:ascii="Times New Roman" w:eastAsia="新宋体" w:hAnsi="Times New Roman"/>
          <w:b/>
          <w:szCs w:val="21"/>
        </w:rPr>
        <w:t>[</w:t>
      </w:r>
      <w:r>
        <w:rPr>
          <w:rFonts w:ascii="Times New Roman" w:eastAsia="新宋体" w:hAnsi="Times New Roman" w:hint="eastAsia"/>
          <w:b/>
          <w:szCs w:val="21"/>
        </w:rPr>
        <w:t>生物</w:t>
      </w:r>
      <w:r>
        <w:rPr>
          <w:rFonts w:ascii="Times New Roman" w:eastAsia="新宋体" w:hAnsi="Times New Roman"/>
          <w:b/>
          <w:szCs w:val="21"/>
        </w:rPr>
        <w:t>--</w:t>
      </w:r>
      <w:r>
        <w:rPr>
          <w:rFonts w:ascii="Times New Roman" w:eastAsia="新宋体" w:hAnsi="Times New Roman" w:hint="eastAsia"/>
          <w:b/>
          <w:szCs w:val="21"/>
        </w:rPr>
        <w:t>选修</w:t>
      </w:r>
      <w:r>
        <w:rPr>
          <w:rFonts w:ascii="Times New Roman" w:eastAsia="新宋体" w:hAnsi="Times New Roman"/>
          <w:b/>
          <w:szCs w:val="21"/>
        </w:rPr>
        <w:t>3</w:t>
      </w:r>
      <w:r>
        <w:rPr>
          <w:rFonts w:ascii="Times New Roman" w:eastAsia="新宋体" w:hAnsi="Times New Roman" w:hint="eastAsia"/>
          <w:b/>
          <w:szCs w:val="21"/>
        </w:rPr>
        <w:t>：现代生物科技专题</w:t>
      </w:r>
      <w:r>
        <w:rPr>
          <w:rFonts w:ascii="Times New Roman" w:eastAsia="新宋体" w:hAnsi="Times New Roman"/>
          <w:b/>
          <w:szCs w:val="21"/>
        </w:rPr>
        <w:t>]</w:t>
      </w:r>
      <w:r>
        <w:rPr>
          <w:rFonts w:ascii="Times New Roman" w:eastAsia="新宋体" w:hAnsi="Times New Roman" w:hint="eastAsia"/>
          <w:b/>
          <w:szCs w:val="21"/>
        </w:rPr>
        <w:t>（</w:t>
      </w:r>
      <w:r>
        <w:rPr>
          <w:rFonts w:ascii="Times New Roman" w:eastAsia="新宋体" w:hAnsi="Times New Roman"/>
          <w:b/>
          <w:szCs w:val="21"/>
        </w:rPr>
        <w:t>15</w:t>
      </w:r>
      <w:r>
        <w:rPr>
          <w:rFonts w:ascii="Times New Roman" w:eastAsia="新宋体" w:hAnsi="Times New Roman" w:hint="eastAsia"/>
          <w:b/>
          <w:szCs w:val="21"/>
        </w:rPr>
        <w:t>分）</w:t>
      </w:r>
    </w:p>
    <w:p w:rsidR="00DB1B48" w:rsidP="00DB1B48" w14:paraId="5C8364DD" w14:textId="77777777">
      <w:pPr>
        <w:spacing w:line="360" w:lineRule="auto"/>
        <w:ind w:left="273" w:hanging="273" w:hangingChars="130"/>
      </w:pPr>
      <w:r>
        <w:rPr>
          <w:rFonts w:ascii="Times New Roman" w:eastAsia="新宋体" w:hAnsi="Times New Roman"/>
          <w:szCs w:val="21"/>
        </w:rPr>
        <w:t>12</w:t>
      </w:r>
      <w:r>
        <w:rPr>
          <w:rFonts w:ascii="Times New Roman" w:eastAsia="新宋体" w:hAnsi="Times New Roman" w:hint="eastAsia"/>
          <w:szCs w:val="21"/>
        </w:rPr>
        <w:t>．为研制抗病毒</w:t>
      </w:r>
      <w:r>
        <w:rPr>
          <w:rFonts w:ascii="Times New Roman" w:eastAsia="新宋体" w:hAnsi="Times New Roman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的单克隆抗体，某同学以小鼠甲为实验材料设计了以下实验流程。</w:t>
      </w:r>
    </w:p>
    <w:p w:rsidR="00DB1B48" w:rsidP="00DB1B48" w14:paraId="37C15C89" w14:textId="168C3359">
      <w:pPr>
        <w:spacing w:line="360" w:lineRule="auto"/>
        <w:ind w:left="273" w:leftChars="130"/>
      </w:pPr>
      <w:r>
        <w:rPr>
          <w:rFonts w:ascii="Times New Roman" w:eastAsia="新宋体" w:hAnsi="Times New Roman"/>
          <w:noProof/>
          <w:szCs w:val="21"/>
        </w:rPr>
        <w:drawing>
          <wp:inline distT="0" distB="0" distL="0" distR="0">
            <wp:extent cx="5162550" cy="102870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2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5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2550" cy="1028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B1B48" w:rsidP="00DB1B48" w14:paraId="1007BCFA" w14:textId="77777777">
      <w:pPr>
        <w:spacing w:line="360" w:lineRule="auto"/>
        <w:ind w:left="273" w:leftChars="130"/>
      </w:pPr>
      <w:r>
        <w:rPr>
          <w:rFonts w:ascii="Times New Roman" w:eastAsia="新宋体" w:hAnsi="Times New Roman" w:hint="eastAsia"/>
          <w:szCs w:val="21"/>
        </w:rPr>
        <w:t>回答下列问题：</w:t>
      </w:r>
    </w:p>
    <w:p w:rsidR="00DB1B48" w:rsidP="00DB1B48" w14:paraId="13E9880F" w14:textId="77777777">
      <w:pPr>
        <w:spacing w:line="360" w:lineRule="auto"/>
        <w:ind w:left="273" w:leftChars="130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）上述实验前必须给小鼠甲注射病毒</w:t>
      </w:r>
      <w:r>
        <w:rPr>
          <w:rFonts w:ascii="Times New Roman" w:eastAsia="新宋体" w:hAnsi="Times New Roman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，该处理的目的是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 w:hint="eastAsia"/>
          <w:szCs w:val="21"/>
        </w:rPr>
        <w:t>。</w:t>
      </w:r>
    </w:p>
    <w:p w:rsidR="00DB1B48" w:rsidP="00DB1B48" w14:paraId="011554A3" w14:textId="77777777">
      <w:pPr>
        <w:spacing w:line="360" w:lineRule="auto"/>
        <w:ind w:left="273" w:leftChars="130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）写出以小鼠甲的脾脏为材料制备单细胞悬液的主要实验步骤：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 w:hint="eastAsia"/>
          <w:szCs w:val="21"/>
        </w:rPr>
        <w:t>。</w:t>
      </w:r>
    </w:p>
    <w:p w:rsidR="00DB1B48" w:rsidP="00DB1B48" w14:paraId="2A5C92A2" w14:textId="77777777">
      <w:pPr>
        <w:spacing w:line="360" w:lineRule="auto"/>
        <w:ind w:left="273" w:leftChars="130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）为了得到能产生抗病毒</w:t>
      </w:r>
      <w:r>
        <w:rPr>
          <w:rFonts w:ascii="Times New Roman" w:eastAsia="新宋体" w:hAnsi="Times New Roman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的单克隆抗体的杂交瘤细胞，需要进行筛选。图中筛选</w:t>
      </w:r>
      <w:r>
        <w:rPr>
          <w:rFonts w:ascii="Times New Roman" w:eastAsia="新宋体" w:hAnsi="Times New Roman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所采用的培养基属于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 w:hint="eastAsia"/>
          <w:szCs w:val="21"/>
        </w:rPr>
        <w:t>，使用该培养基进行细胞培养的结果是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 w:hint="eastAsia"/>
          <w:szCs w:val="21"/>
        </w:rPr>
        <w:t>。图中筛选</w:t>
      </w:r>
      <w:r>
        <w:rPr>
          <w:rFonts w:ascii="Times New Roman" w:eastAsia="新宋体" w:hAnsi="Times New Roman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含多次筛选，筛选所依据的基本原理是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 w:hint="eastAsia"/>
          <w:szCs w:val="21"/>
        </w:rPr>
        <w:t>。</w:t>
      </w:r>
    </w:p>
    <w:p w:rsidR="00DB1B48" w:rsidP="00DB1B48" w14:paraId="3C722B24" w14:textId="77777777">
      <w:pPr>
        <w:spacing w:line="360" w:lineRule="auto"/>
        <w:ind w:left="273" w:leftChars="130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/>
          <w:szCs w:val="21"/>
        </w:rPr>
        <w:t>4</w:t>
      </w:r>
      <w:r>
        <w:rPr>
          <w:rFonts w:ascii="Times New Roman" w:eastAsia="新宋体" w:hAnsi="Times New Roman" w:hint="eastAsia"/>
          <w:szCs w:val="21"/>
        </w:rPr>
        <w:t>）若要使能产生抗病毒</w:t>
      </w:r>
      <w:r>
        <w:rPr>
          <w:rFonts w:ascii="Times New Roman" w:eastAsia="新宋体" w:hAnsi="Times New Roman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的单克隆抗体的杂交瘤细胞大量增殖，可采用的方法有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>　</w:t>
      </w:r>
      <w:r>
        <w:rPr>
          <w:rFonts w:ascii="Times New Roman" w:eastAsia="新宋体" w:hAnsi="Times New Roman" w:hint="eastAsia"/>
          <w:szCs w:val="21"/>
        </w:rPr>
        <w:t>（答出</w:t>
      </w:r>
      <w:r>
        <w:rPr>
          <w:rFonts w:ascii="Times New Roman" w:eastAsia="新宋体" w:hAnsi="Times New Roman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点即可）。</w:t>
      </w:r>
    </w:p>
    <w:p w:rsidR="00455ACE" w:rsidP="00DB1B48" w14:paraId="744092A1" w14:textId="02EDE4B4">
      <w:r>
        <w:br w:type="page"/>
      </w:r>
    </w:p>
    <w:sectPr>
      <w:footerReference w:type="default" r:id="rId6"/>
      <w:pgSz w:w="11906" w:h="16838"/>
      <w:pgMar w:top="1440" w:right="1800" w:bottom="1440" w:left="1800" w:header="851" w:footer="992" w:gutter="0"/>
      <w:cols w:space="425"/>
      <w:titlePg w:val="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新宋体">
    <w:panose1 w:val="02010609030101010101"/>
    <w:charset w:val="86"/>
    <w:family w:val="modern"/>
    <w:pitch w:val="fixed"/>
    <w:sig w:usb0="0000028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jc w:val="center"/>
      <w:rPr>
        <w:sz w:val="20"/>
      </w:rPr>
    </w:pPr>
    <w:r>
      <w:rPr>
        <w:sz w:val="20"/>
      </w:rPr>
      <w:t>第</w:t>
    </w:r>
    <w:r>
      <w:rPr>
        <w:sz w:val="20"/>
      </w:rPr>
      <w:fldChar w:fldCharType="begin"/>
    </w:r>
    <w:r>
      <w:rPr>
        <w:sz w:val="20"/>
      </w:rPr>
      <w:instrText xml:space="preserve"> PAGE </w:instrText>
    </w:r>
    <w:r>
      <w:rPr>
        <w:sz w:val="20"/>
      </w:rPr>
      <w:fldChar w:fldCharType="separate"/>
    </w:r>
    <w:r>
      <w:rPr>
        <w:sz w:val="20"/>
      </w:rPr>
      <w:fldChar w:fldCharType="end"/>
    </w:r>
    <w:r>
      <w:rPr>
        <w:sz w:val="20"/>
      </w:rPr>
      <w:t>页 | 共</w:t>
    </w:r>
    <w:r>
      <w:rPr>
        <w:sz w:val="20"/>
      </w:rPr>
      <w:fldChar w:fldCharType="begin"/>
    </w:r>
    <w:r>
      <w:rPr>
        <w:sz w:val="20"/>
      </w:rPr>
      <w:instrText xml:space="preserve"> NUMPAGES </w:instrText>
    </w:r>
    <w:r>
      <w:rPr>
        <w:sz w:val="20"/>
      </w:rPr>
      <w:fldChar w:fldCharType="separate"/>
    </w:r>
    <w:r>
      <w:rPr>
        <w:sz w:val="20"/>
      </w:rPr>
      <w:fldChar w:fldCharType="end"/>
    </w:r>
    <w:r>
      <w:rPr>
        <w:sz w:val="20"/>
      </w:rPr>
      <w:t xml:space="preserve">页  </w: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5ACE"/>
    <w:rsid w:val="00455ACE"/>
    <w:rsid w:val="00DB1B48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15:chartTrackingRefBased/>
  <w15:docId w15:val="{C3FEE00E-0BD8-47B1-8538-8EE103DF4C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DB1B48"/>
    <w:pPr>
      <w:widowControl w:val="0"/>
      <w:jc w:val="both"/>
    </w:pPr>
    <w:rPr>
      <w:rFonts w:ascii="Calibri" w:eastAsia="宋体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media/image1.png" /><Relationship Id="rId5" Type="http://schemas.openxmlformats.org/officeDocument/2006/relationships/image" Target="media/image2.png" /><Relationship Id="rId6" Type="http://schemas.openxmlformats.org/officeDocument/2006/relationships/footer" Target="footer1.xml" /><Relationship Id="rId7" Type="http://schemas.openxmlformats.org/officeDocument/2006/relationships/theme" Target="theme/theme1.xml" /><Relationship Id="rId8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0</cp:revision>
</cp:coreProperties>
</file>