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FD4B7C" w:rsidP="00FD4B7C" w14:paraId="1196C27C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年全国统一高考生物试卷（新课标Ⅲ）</w:t>
      </w:r>
    </w:p>
    <w:p w:rsidR="00FD4B7C" w:rsidP="00FD4B7C" w14:paraId="5FAFC90A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FD4B7C" w:rsidP="00FD4B7C" w14:paraId="75C0751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分）关于真核生物的遗传信息及其传递的叙述，错误的是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　　）</w:t>
      </w:r>
    </w:p>
    <w:p w:rsidR="00FD4B7C" w:rsidP="00FD4B7C" w14:paraId="7359329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．遗传信息可以从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流向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，也可以从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流向蛋白质</w:t>
      </w:r>
      <w:r>
        <w:tab/>
      </w:r>
    </w:p>
    <w:p w:rsidR="00FD4B7C" w:rsidP="00FD4B7C" w14:paraId="3FF5F9D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．细胞中以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的一条单链为模板转录出的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均可编码多肽</w:t>
      </w:r>
      <w:r>
        <w:tab/>
      </w:r>
    </w:p>
    <w:p w:rsidR="00FD4B7C" w:rsidP="00FD4B7C" w14:paraId="5A7F394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．细胞中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分子的碱基总数与所有基因的碱基数之和不相等</w:t>
      </w:r>
      <w:r>
        <w:tab/>
      </w:r>
    </w:p>
    <w:p w:rsidR="00FD4B7C" w:rsidP="00FD4B7C" w14:paraId="5DC50FC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．染色体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分子中的一条单链可以转录出不同的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分子</w:t>
      </w:r>
    </w:p>
    <w:p w:rsidR="00FD4B7C" w:rsidP="00FD4B7C" w14:paraId="6BFB9EA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分）取燕麦胚芽鞘切段，随机分成三组，第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组置于一定浓度的蔗糖（</w:t>
      </w:r>
      <w:r>
        <w:rPr>
          <w:rFonts w:ascii="Times New Roman" w:eastAsia="新宋体" w:hAnsi="Times New Roman"/>
          <w:szCs w:val="21"/>
        </w:rPr>
        <w:t>Suc</w:t>
      </w:r>
      <w:r>
        <w:rPr>
          <w:rFonts w:ascii="Times New Roman" w:eastAsia="新宋体" w:hAnsi="Times New Roman" w:hint="eastAsia"/>
          <w:szCs w:val="21"/>
        </w:rPr>
        <w:t>）溶液中（蔗糖能进入胚芽鞘细胞），第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组置于适宜浓度的生长素（</w:t>
      </w:r>
      <w:r>
        <w:rPr>
          <w:rFonts w:ascii="Times New Roman" w:eastAsia="新宋体" w:hAnsi="Times New Roman"/>
          <w:szCs w:val="21"/>
        </w:rPr>
        <w:t>IAA</w:t>
      </w:r>
      <w:r>
        <w:rPr>
          <w:rFonts w:ascii="Times New Roman" w:eastAsia="新宋体" w:hAnsi="Times New Roman" w:hint="eastAsia"/>
          <w:szCs w:val="21"/>
        </w:rPr>
        <w:t>）溶液中，第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组置于</w:t>
      </w:r>
      <w:r>
        <w:rPr>
          <w:rFonts w:ascii="Times New Roman" w:eastAsia="新宋体" w:hAnsi="Times New Roman"/>
          <w:szCs w:val="21"/>
        </w:rPr>
        <w:t>IAA+Suc</w:t>
      </w:r>
      <w:r>
        <w:rPr>
          <w:rFonts w:ascii="Times New Roman" w:eastAsia="新宋体" w:hAnsi="Times New Roman" w:hint="eastAsia"/>
          <w:szCs w:val="21"/>
        </w:rPr>
        <w:t>溶液中，一定时间内测定胚芽鞘长度的变化，结果如图所示。用</w:t>
      </w:r>
      <w:r>
        <w:rPr>
          <w:rFonts w:ascii="Times New Roman" w:eastAsia="新宋体" w:hAnsi="Times New Roman"/>
          <w:szCs w:val="21"/>
        </w:rPr>
        <w:t>KCl</w:t>
      </w:r>
      <w:r>
        <w:rPr>
          <w:rFonts w:ascii="Times New Roman" w:eastAsia="新宋体" w:hAnsi="Times New Roman" w:hint="eastAsia"/>
          <w:szCs w:val="21"/>
        </w:rPr>
        <w:t>代替蔗糖进行上述实验可以得到相同的结果。下列说法不合理的是（　　）</w:t>
      </w:r>
    </w:p>
    <w:p w:rsidR="00FD4B7C" w:rsidP="00FD4B7C" w14:paraId="2F0290EA" w14:textId="60B35751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657350" cy="1323975"/>
            <wp:effectExtent l="0" t="0" r="0" b="9525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B7C" w:rsidP="00FD4B7C" w14:paraId="107E1A7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KCl</w:t>
      </w:r>
      <w:r>
        <w:rPr>
          <w:rFonts w:ascii="Times New Roman" w:eastAsia="新宋体" w:hAnsi="Times New Roman" w:hint="eastAsia"/>
          <w:szCs w:val="21"/>
        </w:rPr>
        <w:t>可进入胚芽鞘细胞中调节细胞的渗透压</w:t>
      </w:r>
      <w:r>
        <w:tab/>
      </w:r>
    </w:p>
    <w:p w:rsidR="00FD4B7C" w:rsidP="00FD4B7C" w14:paraId="50CAA05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．胚芽鞘伸长生长过程中，伴随细胞对水分的吸收</w:t>
      </w:r>
      <w:r>
        <w:tab/>
      </w:r>
    </w:p>
    <w:p w:rsidR="00FD4B7C" w:rsidP="00FD4B7C" w14:paraId="0877457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．本实验中</w:t>
      </w:r>
      <w:r>
        <w:rPr>
          <w:rFonts w:ascii="Times New Roman" w:eastAsia="新宋体" w:hAnsi="Times New Roman"/>
          <w:szCs w:val="21"/>
        </w:rPr>
        <w:t>Suc</w:t>
      </w:r>
      <w:r>
        <w:rPr>
          <w:rFonts w:ascii="Times New Roman" w:eastAsia="新宋体" w:hAnsi="Times New Roman" w:hint="eastAsia"/>
          <w:szCs w:val="21"/>
        </w:rPr>
        <w:t>是作为能源物质来提高</w:t>
      </w:r>
      <w:r>
        <w:rPr>
          <w:rFonts w:ascii="Times New Roman" w:eastAsia="新宋体" w:hAnsi="Times New Roman"/>
          <w:szCs w:val="21"/>
        </w:rPr>
        <w:t>IAA</w:t>
      </w:r>
      <w:r>
        <w:rPr>
          <w:rFonts w:ascii="Times New Roman" w:eastAsia="新宋体" w:hAnsi="Times New Roman" w:hint="eastAsia"/>
          <w:szCs w:val="21"/>
        </w:rPr>
        <w:t>作用效果的</w:t>
      </w:r>
      <w:r>
        <w:tab/>
      </w:r>
    </w:p>
    <w:p w:rsidR="00FD4B7C" w:rsidP="00FD4B7C" w14:paraId="62B1923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IAA</w:t>
      </w:r>
      <w:r>
        <w:rPr>
          <w:rFonts w:ascii="Times New Roman" w:eastAsia="新宋体" w:hAnsi="Times New Roman" w:hint="eastAsia"/>
          <w:szCs w:val="21"/>
        </w:rPr>
        <w:t>促进胚芽鞘伸长的效果可因加入</w:t>
      </w:r>
      <w:r>
        <w:rPr>
          <w:rFonts w:ascii="Times New Roman" w:eastAsia="新宋体" w:hAnsi="Times New Roman"/>
          <w:szCs w:val="21"/>
        </w:rPr>
        <w:t>Suc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/>
          <w:szCs w:val="21"/>
        </w:rPr>
        <w:t>KCl</w:t>
      </w:r>
      <w:r>
        <w:rPr>
          <w:rFonts w:ascii="Times New Roman" w:eastAsia="新宋体" w:hAnsi="Times New Roman" w:hint="eastAsia"/>
          <w:szCs w:val="21"/>
        </w:rPr>
        <w:t>而提高</w:t>
      </w:r>
    </w:p>
    <w:p w:rsidR="00FD4B7C" w:rsidP="00FD4B7C" w14:paraId="51443973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分）细胞内有些</w:t>
      </w:r>
      <w:r>
        <w:rPr>
          <w:rFonts w:ascii="Times New Roman" w:eastAsia="新宋体" w:hAnsi="Times New Roman"/>
          <w:szCs w:val="21"/>
        </w:rPr>
        <w:t>tRNA</w:t>
      </w:r>
      <w:r>
        <w:rPr>
          <w:rFonts w:ascii="Times New Roman" w:eastAsia="新宋体" w:hAnsi="Times New Roman" w:hint="eastAsia"/>
          <w:szCs w:val="21"/>
        </w:rPr>
        <w:t>分子的反密码子中含有稀有碱基次黄嘌呤（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）。含有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的反密码子在与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中的密码子互补配对时，存在如图所示的配对方式（</w:t>
      </w:r>
      <w:r>
        <w:rPr>
          <w:rFonts w:ascii="Times New Roman" w:eastAsia="新宋体" w:hAnsi="Times New Roman"/>
          <w:szCs w:val="21"/>
        </w:rPr>
        <w:t>Gly</w:t>
      </w:r>
      <w:r>
        <w:rPr>
          <w:rFonts w:ascii="Times New Roman" w:eastAsia="新宋体" w:hAnsi="Times New Roman" w:hint="eastAsia"/>
          <w:szCs w:val="21"/>
        </w:rPr>
        <w:t>表示甘氨酸）。下列说法错误的是（　　）</w:t>
      </w:r>
    </w:p>
    <w:p w:rsidR="00FD4B7C" w:rsidP="00FD4B7C" w14:paraId="415CE451" w14:textId="7394B38A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743450" cy="1428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B7C" w:rsidP="00FD4B7C" w14:paraId="23AFD4B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．一种反密码子可以识别不同的密码子</w:t>
      </w:r>
      <w:r>
        <w:tab/>
      </w:r>
    </w:p>
    <w:p w:rsidR="00FD4B7C" w:rsidP="00FD4B7C" w14:paraId="2B80296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．密码子与反密码子的碱基之间通过氢键结合</w:t>
      </w:r>
      <w:r>
        <w:tab/>
      </w:r>
    </w:p>
    <w:p w:rsidR="00FD4B7C" w:rsidP="00FD4B7C" w14:paraId="6EC2163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tRNA</w:t>
      </w:r>
      <w:r>
        <w:rPr>
          <w:rFonts w:ascii="Times New Roman" w:eastAsia="新宋体" w:hAnsi="Times New Roman" w:hint="eastAsia"/>
          <w:szCs w:val="21"/>
        </w:rPr>
        <w:t>分子由两条链组成，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分子由单链组成</w:t>
      </w:r>
      <w:r>
        <w:tab/>
      </w:r>
    </w:p>
    <w:p w:rsidR="00FD4B7C" w:rsidP="00FD4B7C" w14:paraId="26DBDB4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中的碱基改变不一定造成所编码氨基酸的改变</w:t>
      </w:r>
    </w:p>
    <w:p w:rsidR="00FD4B7C" w:rsidP="00FD4B7C" w14:paraId="5B77365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分）下列有关人体免疫调节的叙述，合理的是（　　）</w:t>
      </w:r>
    </w:p>
    <w:p w:rsidR="00FD4B7C" w:rsidP="00FD4B7C" w14:paraId="076C666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．若病原体不具有细胞结构，就不会使人体产生抗体</w:t>
      </w:r>
      <w:r>
        <w:tab/>
      </w:r>
    </w:p>
    <w:p w:rsidR="00FD4B7C" w:rsidP="00FD4B7C" w14:paraId="64A112C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．病原体裂解后再注射到人体，就不会使人体产生抗体</w:t>
      </w:r>
      <w:r>
        <w:tab/>
      </w:r>
    </w:p>
    <w:p w:rsidR="00FD4B7C" w:rsidP="00FD4B7C" w14:paraId="125A06D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．病原体表面若不存在蛋白质分子，就不会使人体产生抗体</w:t>
      </w:r>
      <w:r>
        <w:tab/>
      </w:r>
    </w:p>
    <w:p w:rsidR="00FD4B7C" w:rsidP="00FD4B7C" w14:paraId="22C5B9A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．病原体经吞噬细胞处理后暴露出的抗原可使人体产生抗体</w:t>
      </w:r>
    </w:p>
    <w:p w:rsidR="00FD4B7C" w:rsidP="00FD4B7C" w14:paraId="166F269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分）新冠病毒是一种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病毒。新冠肺炎疫情给人们的生活带来了巨大影响。下列与新冠肺炎疫情防控相关的叙述，错误的是（　　）</w:t>
      </w:r>
    </w:p>
    <w:p w:rsidR="00FD4B7C" w:rsidP="00FD4B7C" w14:paraId="41272A5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．新冠病毒含有核酸和蛋白质，通过核酸检测可排查新冠病毒感染者</w:t>
      </w:r>
      <w:r>
        <w:tab/>
      </w:r>
    </w:p>
    <w:p w:rsidR="00FD4B7C" w:rsidP="00FD4B7C" w14:paraId="168F549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．教室经常开窗通风可以促进空气流动，降低室内病原微生物的密度</w:t>
      </w:r>
      <w:r>
        <w:tab/>
      </w:r>
    </w:p>
    <w:p w:rsidR="00FD4B7C" w:rsidP="00FD4B7C" w14:paraId="13AE208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．通常新冠肺炎患者的症状之一是发烧，因此可以通过体温测量初步排查</w:t>
      </w:r>
      <w:r>
        <w:tab/>
      </w:r>
    </w:p>
    <w:p w:rsidR="00FD4B7C" w:rsidP="00FD4B7C" w14:paraId="1A22501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．每天适量饮酒可以预防新冠肺炎，因为酒精可以使细胞内的病毒蛋白变性</w:t>
      </w:r>
    </w:p>
    <w:p w:rsidR="00FD4B7C" w:rsidP="00FD4B7C" w14:paraId="3167E1B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分）生态系统的物质循环包括碳循环和氮循环等过程。下列有关碳循环的叙述，错误的是（　　）</w:t>
      </w:r>
    </w:p>
    <w:p w:rsidR="00FD4B7C" w:rsidP="00FD4B7C" w14:paraId="794B156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．消费者没有参与碳循环的过程</w:t>
      </w:r>
      <w:r>
        <w:tab/>
      </w:r>
    </w:p>
    <w:p w:rsidR="00FD4B7C" w:rsidP="00FD4B7C" w14:paraId="507FF34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．生产者的光合作用是碳循环的重要环节</w:t>
      </w:r>
      <w:r>
        <w:tab/>
      </w:r>
    </w:p>
    <w:p w:rsidR="00FD4B7C" w:rsidP="00FD4B7C" w14:paraId="57A561F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．土壤中微生物的呼吸作用是碳循环的重要环节</w:t>
      </w:r>
      <w:r>
        <w:tab/>
      </w:r>
    </w:p>
    <w:p w:rsidR="00FD4B7C" w:rsidP="00FD4B7C" w14:paraId="7EACBCF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．碳在无机环境与生物群落之间主要以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形式循环</w:t>
      </w:r>
    </w:p>
    <w:p w:rsidR="00FD4B7C" w:rsidP="00FD4B7C" w14:paraId="43D92C76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54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7~10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、</w:t>
      </w:r>
      <w:r>
        <w:rPr>
          <w:rFonts w:ascii="Times New Roman" w:eastAsia="新宋体" w:hAnsi="Times New Roman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39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FD4B7C" w:rsidP="00FD4B7C" w14:paraId="7D8B8CA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分）参照表中内容，围绕真核细胞中</w:t>
      </w:r>
      <w:r>
        <w:rPr>
          <w:rFonts w:ascii="Times New Roman" w:eastAsia="新宋体" w:hAnsi="Times New Roman"/>
          <w:szCs w:val="21"/>
        </w:rPr>
        <w:t>ATP</w:t>
      </w:r>
      <w:r>
        <w:rPr>
          <w:rFonts w:ascii="Times New Roman" w:eastAsia="新宋体" w:hAnsi="Times New Roman" w:hint="eastAsia"/>
          <w:szCs w:val="21"/>
        </w:rPr>
        <w:t>的合成来完成下表。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255"/>
        <w:gridCol w:w="1696"/>
        <w:gridCol w:w="2034"/>
        <w:gridCol w:w="2035"/>
      </w:tblGrid>
      <w:tr w14:paraId="1D9EDA8C" w14:textId="77777777" w:rsidTr="00FD4B7C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6D9F97B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反应部位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1E8C386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045C70B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叶绿体的类囊体膜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695C867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线粒体</w:t>
            </w:r>
          </w:p>
        </w:tc>
      </w:tr>
      <w:tr w14:paraId="6CE5798A" w14:textId="77777777" w:rsidTr="00FD4B7C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7232EE7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反应物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26F45C7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葡萄糖</w:t>
            </w:r>
          </w:p>
        </w:tc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078C5BD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/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2EAAE37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丙酮酸等</w:t>
            </w:r>
          </w:p>
        </w:tc>
      </w:tr>
      <w:tr w14:paraId="74B09171" w14:textId="77777777" w:rsidTr="00FD4B7C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3A74822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反应名称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22B1853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0F500BD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光合作用的光反应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0CE2D27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有氧呼吸的部分过程</w:t>
            </w:r>
          </w:p>
        </w:tc>
      </w:tr>
      <w:tr w14:paraId="1B309F44" w14:textId="77777777" w:rsidTr="00FD4B7C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34C88C1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合成</w:t>
            </w:r>
            <w:r>
              <w:rPr>
                <w:rFonts w:ascii="Times New Roman" w:eastAsia="新宋体" w:hAnsi="Times New Roman"/>
                <w:szCs w:val="21"/>
              </w:rPr>
              <w:t>ATP</w:t>
            </w:r>
            <w:r>
              <w:rPr>
                <w:rFonts w:ascii="Times New Roman" w:eastAsia="新宋体" w:hAnsi="Times New Roman" w:hint="eastAsia"/>
                <w:szCs w:val="21"/>
              </w:rPr>
              <w:t>的能量来源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0CB2574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化学能</w:t>
            </w:r>
          </w:p>
        </w:tc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30CBC06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13A0CEF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化学能</w:t>
            </w:r>
          </w:p>
        </w:tc>
      </w:tr>
      <w:tr w14:paraId="484C9786" w14:textId="77777777" w:rsidTr="00FD4B7C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335ABCC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终产物（除</w:t>
            </w:r>
            <w:r>
              <w:rPr>
                <w:rFonts w:ascii="Times New Roman" w:eastAsia="新宋体" w:hAnsi="Times New Roman"/>
                <w:szCs w:val="21"/>
              </w:rPr>
              <w:t>ATP</w:t>
            </w:r>
            <w:r>
              <w:rPr>
                <w:rFonts w:ascii="Times New Roman" w:eastAsia="新宋体" w:hAnsi="Times New Roman" w:hint="eastAsia"/>
                <w:szCs w:val="21"/>
              </w:rPr>
              <w:t>外）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3B083C2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乙醇、</w:t>
            </w:r>
            <w:r>
              <w:rPr>
                <w:rFonts w:ascii="Times New Roman" w:eastAsia="新宋体" w:hAnsi="Times New Roman"/>
                <w:szCs w:val="21"/>
              </w:rPr>
              <w:t>CO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45F7E68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FD4B7C" w14:paraId="5252A9E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5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</w:tr>
    </w:tbl>
    <w:p w:rsidR="00FD4B7C" w:rsidP="00FD4B7C" w14:paraId="3D5DC7A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分）给奶牛挤奶时其乳头上的感受器会受到刺激，产生的兴奋沿着传入神经传到脊髓能反射性地引起乳腺排乳；同时该兴奋还能上传到下丘脑促使其合成催产素，进而促进乳腺排乳。回答下列问题：</w:t>
      </w:r>
    </w:p>
    <w:p w:rsidR="00FD4B7C" w:rsidP="00FD4B7C" w14:paraId="51C0E83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）在完成一个反射的过程中，一个神经元和另一个神经元之间的信息传递是通过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这一结构来完成的。</w:t>
      </w:r>
    </w:p>
    <w:p w:rsidR="00FD4B7C" w:rsidP="00FD4B7C" w14:paraId="7099A00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）上述排乳调节过程中，存在神经调节和体液调节。通常在哺乳动物体内，这两种调节方式之间的关系是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4B7C" w:rsidP="00FD4B7C" w14:paraId="509D3E2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）牛奶的主要成分有乳糖和蛋白质等，组成乳糖的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种单糖是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。牛奶中含有人体所需的必需氨基酸，必需氨基酸是指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4B7C" w:rsidP="00FD4B7C" w14:paraId="3B654F2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分）假设某种蓝藻（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）是某湖泊中唯一的生产者，其密度极大，使湖水能见度降低。某种动物（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）是该湖泊中唯一的消费者。回答下列问题：</w:t>
      </w:r>
    </w:p>
    <w:p w:rsidR="00FD4B7C" w:rsidP="00FD4B7C" w14:paraId="3899885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）该湖泊水体中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种群密度极大的可能原因是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FD4B7C" w:rsidP="00FD4B7C" w14:paraId="75106C43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）画出该湖泊生态系统能量流动的示意图。</w:t>
      </w:r>
    </w:p>
    <w:p w:rsidR="00FD4B7C" w:rsidP="00FD4B7C" w14:paraId="12162D72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FD4B7C" w:rsidP="00FD4B7C" w14:paraId="77DA1F7D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FD4B7C" w:rsidP="00FD4B7C" w14:paraId="05F6FDA4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FD4B7C" w:rsidP="00FD4B7C" w14:paraId="6F6D4089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FD4B7C" w:rsidP="00FD4B7C" w14:paraId="4D51BE4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）假设该湖泊中引入一种仅以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为食的动物（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）后，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种群能够迅速壮大，则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的种间关系是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4B7C" w:rsidP="00FD4B7C" w14:paraId="53FE9DF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分）普通小麦是目前世界各地栽培的重要粮食作物。普通小麦的形成包括不同物种杂交和染色体加倍过程，如图所示（其中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分别代表不同物种的一个染色体组，每个染色体组均含</w:t>
      </w: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条染色体）。在此基础上，人们又通过杂交育种培育出许多优良品种。回答下列问题：</w:t>
      </w:r>
    </w:p>
    <w:p w:rsidR="00FD4B7C" w:rsidP="00FD4B7C" w14:paraId="69FEC83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）在普通小麦的形成过程中，杂种一是高度不育的，原因是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。已知普通小麦是杂种二染色体加倍形成的多倍体，普通小麦体细胞中有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条染色体。一般来说，与二倍体相比，多倍体的优点是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FD4B7C" w:rsidP="00FD4B7C" w14:paraId="6E54151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）若要用人工方法使植物细胞染色体加倍，可采用的方法有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FD4B7C" w:rsidP="00FD4B7C" w14:paraId="2AB9D9C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）现有甲、乙两个普通小麦品种（纯合体），甲的表现型是抗病易倒伏，乙的表现型是易感病抗倒伏。若要以甲、乙为实验材料设计实验获得抗病抗倒伏且稳定遗传的新品种，请简要写出实验思路。</w:t>
      </w:r>
    </w:p>
    <w:p w:rsidR="00FD4B7C" w:rsidP="00FD4B7C" w14:paraId="36E4EA55" w14:textId="3091AFC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952625" cy="28860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B7C" w:rsidP="00FD4B7C" w14:paraId="06FE9174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道生物题中任选一题作答。如果多做，则每科按所做的第一题计分。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：生物技术实践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FD4B7C" w:rsidP="00FD4B7C" w14:paraId="6F1EC90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分）水果可以用来加工制作果汁、果酒和果醋等。回答下列问题：</w:t>
      </w:r>
    </w:p>
    <w:p w:rsidR="00FD4B7C" w:rsidP="00FD4B7C" w14:paraId="0B142DF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）制作果汁时，可以使用果胶酶、纤维素酶等提高水果的出汁率和澄清度。果胶酶是分解果胶的一类酶的总称，包括多聚半乳糖醛酸酶、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种即可）。纤维素酶可以分解植物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（填“细胞膜”或“细胞壁”）中的纤维素。</w:t>
      </w:r>
    </w:p>
    <w:p w:rsidR="00FD4B7C" w:rsidP="00FD4B7C" w14:paraId="2033938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）用果胶酶处理果泥时，为了提高出汁率，需要控制反应的温度，原因是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4B7C" w:rsidP="00FD4B7C" w14:paraId="75AF6A1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）现有甲乙丙三种不同来源的果胶酶，某同学拟在果泥用量、温度、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等所有条件都相同的前提下比较这三种酶的活性。通常，酶活性的高低可用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来表示。</w:t>
      </w:r>
    </w:p>
    <w:p w:rsidR="00FD4B7C" w:rsidP="00FD4B7C" w14:paraId="65871D6C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）获得的果汁（如苹果汁）可以用来制作果酒或者果醋，制作果酒需要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菌，这一过程中也需要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的作用是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。制作果醋需要醋酸菌，醋酸菌属于</w:t>
      </w:r>
    </w:p>
    <w:p w:rsidR="00FD4B7C" w:rsidP="00FD4B7C" w14:paraId="0B80A34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（填“好氧”或“厌氧”）细菌。</w:t>
      </w:r>
    </w:p>
    <w:p w:rsidR="00FD4B7C" w:rsidP="00FD4B7C" w14:paraId="6105D6D4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：现代生物科技专题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FD4B7C" w:rsidP="00FD4B7C" w14:paraId="380F67A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是一种具有特定功能的人体蛋白质。某研究小组拟仿照制备乳腺生物反应器的研究思路，制备一种膀胱生物反应器来获得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，基本过程如图所示。</w:t>
      </w:r>
    </w:p>
    <w:p w:rsidR="00FD4B7C" w:rsidP="00FD4B7C" w14:paraId="4207FC9C" w14:textId="5B8EBBF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143375" cy="12573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B7C" w:rsidP="00FD4B7C" w14:paraId="4772B41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FD4B7C" w:rsidP="00FD4B7C" w14:paraId="1673411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）步骤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中需要使用的工具酶有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。步骤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所代表的操作分别是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。步骤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4B7C" w:rsidP="00FD4B7C" w14:paraId="5E945FA0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）与乳腺生物反应器相比，用膀胱生物反应器生产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的优势在于不受转基因动物的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点即可）的限制。</w:t>
      </w:r>
    </w:p>
    <w:p w:rsidR="00FD4B7C" w:rsidP="00FD4B7C" w14:paraId="7D25624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FD4B7C" w:rsidP="00FD4B7C" w14:paraId="1E381FE0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FD4B7C" w:rsidP="00FD4B7C" w14:paraId="6A2BA55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）一般来说，在同一动物个体中，乳腺上皮细胞与膀胱上皮细胞的细胞核中染色体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所含的遗传信息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（填“相同”或“不同”），原因是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4B7C" w:rsidP="00FD4B7C" w14:paraId="277414E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）从上述流程可知，制备生物反应器涉及胚胎工程，胚胎工程中所用到的主要技术有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FD4B7C" w:rsidP="00FD4B7C" w14:paraId="2B5321F6" w14:textId="77777777">
      <w:pPr>
        <w:widowControl/>
        <w:spacing w:line="360" w:lineRule="auto"/>
        <w:jc w:val="left"/>
      </w:pPr>
      <w:r>
        <w:br w:type="page"/>
      </w:r>
    </w:p>
    <w:p w:rsidR="00FA3DA7" w:rsidRPr="00FD4B7C" w14:paraId="145EF570" w14:textId="77777777"/>
    <w:sectPr>
      <w:footerReference w:type="default" r:id="rId8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A7"/>
    <w:rsid w:val="00FA3DA7"/>
    <w:rsid w:val="00FD4B7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8C8F883-6030-4C9D-B052-2130CBFD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4B7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