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A03CE9" w14:paraId="73CB7859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11861800</wp:posOffset>
            </wp:positionV>
            <wp:extent cx="393700" cy="431800"/>
            <wp:effectExtent l="0" t="0" r="0" b="0"/>
            <wp:wrapNone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湖南省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年普通高中学业水平选择性考试</w:t>
      </w:r>
    </w:p>
    <w:p w:rsidR="00A03CE9" w14:paraId="5FD4D2F6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生物</w:t>
      </w:r>
    </w:p>
    <w:p w:rsidR="00A03CE9" w14:paraId="02ADFF1D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注意事项</w:t>
      </w:r>
      <w:r>
        <w:rPr>
          <w:rFonts w:eastAsia="Times New Roman" w:cs="Times New Roman"/>
          <w:b/>
          <w:sz w:val="24"/>
        </w:rPr>
        <w:t>:</w:t>
      </w:r>
    </w:p>
    <w:p w:rsidR="00A03CE9" w14:paraId="6820A38B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答卷前，考生务必将自己的姓名、准考证号填写在本试卷和答题卡上。</w:t>
      </w:r>
    </w:p>
    <w:p w:rsidR="00A03CE9" w14:paraId="472F0B8D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:rsidR="00A03CE9" w14:paraId="72DAFAF5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考试结束后，将本试卷和答题卡一并交回。</w:t>
      </w:r>
    </w:p>
    <w:p w:rsidR="00A03CE9" w14:paraId="55DA87EE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  <w:r>
        <w:rPr>
          <w:rFonts w:eastAsia="Times New Roman" w:cs="Times New Roman"/>
          <w:b/>
          <w:sz w:val="24"/>
        </w:rPr>
        <w:t>:</w:t>
      </w:r>
      <w:r>
        <w:rPr>
          <w:rFonts w:ascii="宋体" w:hAnsi="宋体"/>
          <w:b/>
          <w:sz w:val="24"/>
        </w:rPr>
        <w:t>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小题，在每小题给出的四个选项中，只有一项是符合题目要求的。</w:t>
      </w:r>
    </w:p>
    <w:p w:rsidR="00A03CE9" w14:paraId="3B9DAA46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胶原蛋白是细胞外基质的主要成分之一，其非必需氨基酸含量比蛋清蛋白高。下列叙述正确的是（　　）</w:t>
      </w:r>
    </w:p>
    <w:p w:rsidR="00A03CE9" w14:paraId="2A9A2017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916DA4">
        <w:rPr>
          <w:rFonts w:ascii="宋体" w:hAnsi="宋体"/>
        </w:rPr>
        <w:t>胶原蛋白的氮元素主要存在于氨基中</w:t>
      </w:r>
    </w:p>
    <w:p w:rsidR="00A03CE9" w14:paraId="75CDD1F7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B. </w:t>
      </w:r>
      <w:r w:rsidR="00916DA4">
        <w:rPr>
          <w:rFonts w:ascii="宋体" w:hAnsi="宋体"/>
        </w:rPr>
        <w:t>皮肤表面涂抹的胶原蛋白可被直接吸收</w:t>
      </w:r>
    </w:p>
    <w:p w:rsidR="00A03CE9" w14:paraId="73FCF919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C. </w:t>
      </w:r>
      <w:r w:rsidR="00916DA4">
        <w:rPr>
          <w:rFonts w:ascii="宋体" w:hAnsi="宋体"/>
        </w:rPr>
        <w:t>胶原蛋白的形成与内质网和高尔基体有关</w:t>
      </w:r>
    </w:p>
    <w:p w:rsidR="00A03CE9" w14:paraId="4AED246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D. </w:t>
      </w:r>
      <w:r w:rsidR="00916DA4">
        <w:rPr>
          <w:rFonts w:ascii="宋体" w:hAnsi="宋体"/>
        </w:rPr>
        <w:t>胶原蛋白比蛋清蛋白的营养价值高</w:t>
      </w:r>
    </w:p>
    <w:p w:rsidR="00A03CE9" w14:paraId="069A41B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eastAsia="Times New Roman" w:cs="Times New Roman"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噬菌体侵染大肠杆菌的过程中，下列哪一项不会发生（　　）</w:t>
      </w:r>
    </w:p>
    <w:p w:rsidR="00A03CE9" w14:paraId="66D6AE3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新的噬菌体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合成</w:t>
      </w:r>
    </w:p>
    <w:p w:rsidR="00A03CE9" w14:paraId="54E747E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新的噬菌体蛋白质外壳合成</w:t>
      </w:r>
    </w:p>
    <w:p w:rsidR="00A03CE9" w14:paraId="47BF5345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C. 噬菌体在自身</w:t>
      </w:r>
      <w:r>
        <w:rPr>
          <w:rFonts w:eastAsia="Times New Roman" w:cs="Times New Roman"/>
          <w:color w:val="000000"/>
        </w:rPr>
        <w:t>RNA</w:t>
      </w:r>
      <w:r>
        <w:rPr>
          <w:rFonts w:ascii="宋体" w:hAnsi="宋体"/>
          <w:color w:val="000000"/>
        </w:rPr>
        <w:t>聚合酶作用下转录出</w:t>
      </w:r>
      <w:r>
        <w:rPr>
          <w:rFonts w:eastAsia="Times New Roman" w:cs="Times New Roman"/>
          <w:color w:val="000000"/>
        </w:rPr>
        <w:t>RNA</w:t>
      </w:r>
    </w:p>
    <w:p w:rsidR="00A03CE9" w14:paraId="11EA67C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合成的噬菌体</w:t>
      </w:r>
      <w:r>
        <w:rPr>
          <w:rFonts w:eastAsia="Times New Roman" w:cs="Times New Roman"/>
          <w:color w:val="000000"/>
        </w:rPr>
        <w:t>RNA</w:t>
      </w:r>
      <w:r>
        <w:rPr>
          <w:rFonts w:ascii="宋体" w:hAnsi="宋体"/>
          <w:color w:val="000000"/>
        </w:rPr>
        <w:t>与大肠杆菌的核糖体结合</w:t>
      </w:r>
    </w:p>
    <w:p w:rsidR="00A03CE9" w14:paraId="689C958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洗涤剂中的碱性蛋白酶受到其他成分的影响而改变构象，部分解折叠后可被正常碱性蛋白酶特异性识别并降解（自溶）失活。此外，加热也能使碱性蛋白酶失活，如图所示。下列叙述错误的是（　　）</w:t>
      </w:r>
    </w:p>
    <w:p w:rsidR="00A03CE9" w14:paraId="5A218AD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429000" cy="12668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E9" w14:paraId="53D89E1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碱性蛋白酶在一定条件下可发生自溶失活</w:t>
      </w:r>
    </w:p>
    <w:p w:rsidR="00A03CE9" w14:paraId="3836C55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加热导致碱性蛋白酶构象改变是不可逆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E9" w14:paraId="283D1E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添加酶稳定剂可提高加碱性蛋白酶洗涤剂的去污效果</w:t>
      </w:r>
    </w:p>
    <w:p w:rsidR="00A03CE9" w14:paraId="4BD93EA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添加碱性蛋白酶可降低洗涤剂使用量，减少环境污染</w:t>
      </w:r>
    </w:p>
    <w:p w:rsidR="00A03CE9" w14:paraId="68452F2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情绪活动受中枢神经系统释放神经递质调控，常伴随内分泌活动的变化。此外，学习和记忆也与某些神经递质的释放有关。下列叙述错误的是（　　）</w:t>
      </w:r>
    </w:p>
    <w:p w:rsidR="00A03CE9" w14:paraId="412E1A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剧痛、恐惧时，人表现为警觉性下降，反应迟钝</w:t>
      </w:r>
    </w:p>
    <w:p w:rsidR="00A03CE9" w14:paraId="20BA55B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边听课边做笔记依赖神经元的活动及神经元之间的联系</w:t>
      </w:r>
    </w:p>
    <w:p w:rsidR="00A03CE9" w14:paraId="2778464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突触后膜上受体数量的减少常影响神经递质发挥作用</w:t>
      </w:r>
    </w:p>
    <w:p w:rsidR="00A03CE9" w14:paraId="4C2D972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情绪激动、焦虑时，肾上腺素水平升高，心率加速</w:t>
      </w:r>
    </w:p>
    <w:p w:rsidR="00A03CE9" w14:paraId="0C0C2F8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关于癌症，下列叙述错误的是（　　）</w:t>
      </w:r>
    </w:p>
    <w:p w:rsidR="00A03CE9" w14:paraId="4A86F8C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成纤维细胞癌变后变成球形，其结构和功能会发生相应改变</w:t>
      </w:r>
    </w:p>
    <w:p w:rsidR="00A03CE9" w14:paraId="370385E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癌症发生的频率不是很高，大多数癌症的发生是多个基因突变的累积效应</w:t>
      </w:r>
    </w:p>
    <w:p w:rsidR="00A03CE9" w14:paraId="1D348F9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正常细胞生长和分裂失控变成癌细胞，原因是抑癌基因突变成原癌基因</w:t>
      </w:r>
    </w:p>
    <w:p w:rsidR="00A03CE9" w14:paraId="04754ED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乐观向上的心态、良好的生活习惯，可降低癌症发生的可能性</w:t>
      </w:r>
    </w:p>
    <w:p w:rsidR="00A03CE9" w14:paraId="235DCC9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洋葱根尖细胞染色体数为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对，细胞周期约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小时。观察洋葱根尖细胞有丝分裂，拍摄照片如图所示。下列分析正确的是（　　）</w:t>
      </w:r>
    </w:p>
    <w:p w:rsidR="00A03CE9" w14:paraId="607FACA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533525" cy="11239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E9" w14:paraId="1D105C8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为分裂后期细胞，同源染色体发生分离</w:t>
      </w:r>
    </w:p>
    <w:p w:rsidR="00A03CE9" w14:paraId="17BADEF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为分裂中期细胞，含染色体</w:t>
      </w:r>
      <w:r>
        <w:rPr>
          <w:rFonts w:eastAsia="Times New Roman" w:cs="Times New Roman"/>
          <w:color w:val="000000"/>
        </w:rPr>
        <w:t>16</w:t>
      </w:r>
      <w:r>
        <w:rPr>
          <w:rFonts w:ascii="宋体" w:hAnsi="宋体"/>
          <w:color w:val="000000"/>
        </w:rPr>
        <w:t>条，核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分子</w:t>
      </w:r>
      <w:r>
        <w:rPr>
          <w:rFonts w:eastAsia="Times New Roman" w:cs="Times New Roman"/>
          <w:color w:val="000000"/>
        </w:rPr>
        <w:t>32</w:t>
      </w:r>
      <w:r>
        <w:rPr>
          <w:rFonts w:ascii="宋体" w:hAnsi="宋体"/>
          <w:color w:val="000000"/>
        </w:rPr>
        <w:t>个</w:t>
      </w:r>
    </w:p>
    <w:p w:rsidR="00A03CE9" w14:paraId="77098D5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根据图中中期细胞数的比例，可计算出洋葱根尖细胞分裂中期时长</w:t>
      </w:r>
    </w:p>
    <w:p w:rsidR="00A03CE9" w14:paraId="44801EF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根尖培养过程中用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合成抑制剂处理，分裂间期细胞所占比例降低</w:t>
      </w:r>
    </w:p>
    <w:p w:rsidR="00A03CE9" w14:paraId="0231CEC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“清明时节雨纷纷，路上行人欲断魂。借问酒家何处有，牧童遥指杏花村。”徜徉古诗意境，思考科学问题。下列观点错误的是（　　）</w:t>
      </w:r>
    </w:p>
    <w:p w:rsidR="00A03CE9" w14:paraId="4BD5FC8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纷纷细雨能为杏树开花提供必需的水分</w:t>
      </w:r>
    </w:p>
    <w:p w:rsidR="00A03CE9" w14:paraId="6B45EA9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杏树开花体现了植物生长发育的季节周期性</w:t>
      </w:r>
    </w:p>
    <w:p w:rsidR="00A03CE9" w14:paraId="7446678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花开花落与细胞生长和细胞凋亡相关联</w:t>
      </w:r>
    </w:p>
    <w:p w:rsidR="00A03CE9" w14:paraId="4BFE351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“杏花村酒”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酿制，酵母菌只进行无氧呼吸</w:t>
      </w:r>
    </w:p>
    <w:p w:rsidR="00A03CE9" w14:paraId="724813E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稻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蟹共作是以水稻为主体、适量放养蟹的生态种养模式，常使用灯光诱虫杀虫。水稻为蟹提供遮蔽场所和氧气，蟹能摄食害虫、虫卵和杂草，其粪便可作为水稻的肥料。下列叙述正确的是（　　）</w:t>
      </w:r>
    </w:p>
    <w:p w:rsidR="00A03CE9" w14:paraId="5230E04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该种养模式提高了营养级间的能量传递效率</w:t>
      </w:r>
    </w:p>
    <w:p w:rsidR="00A03CE9" w14:paraId="381A0A8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采用灯光诱虫杀虫利用了物理信息的传递</w:t>
      </w:r>
    </w:p>
    <w:p w:rsidR="00A03CE9" w14:paraId="5A135A2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硬壳蟹（非蜕壳）摄食软壳蟹（蜕壳）为捕食关系</w:t>
      </w:r>
    </w:p>
    <w:p w:rsidR="00A03CE9" w14:paraId="337653F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该种养模式可实现物质和能量的循环利用</w:t>
      </w:r>
    </w:p>
    <w:p w:rsidR="00A03CE9" w14:paraId="5D804E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大鼠控制黑眼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红眼的基因和控制黑毛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白化的基因位于同一条染色体上。某个体测交后代表现型及比例为黑眼黑毛</w:t>
      </w:r>
      <w:r>
        <w:rPr>
          <w:rFonts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黑眼白化</w:t>
      </w:r>
      <w:r>
        <w:rPr>
          <w:rFonts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红眼黑毛</w:t>
      </w:r>
      <w:r>
        <w:rPr>
          <w:rFonts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红眼白化</w:t>
      </w:r>
      <w:r>
        <w:rPr>
          <w:rFonts w:eastAsia="Times New Roman" w:cs="Times New Roman"/>
          <w:color w:val="000000"/>
        </w:rPr>
        <w:t>=1:1:1:1</w:t>
      </w:r>
      <w:r>
        <w:rPr>
          <w:rFonts w:ascii="宋体" w:hAnsi="宋体"/>
          <w:color w:val="000000"/>
        </w:rPr>
        <w:t>。该个体最可能发生了下列哪种染色体结构变异（　　）</w:t>
      </w:r>
    </w:p>
    <w:p w:rsidR="00A03CE9" w14:paraId="1E4007D8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133475" cy="8763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428750" cy="82867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 xml:space="preserve">C.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428750" cy="10382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228725" cy="86677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E9" w14:paraId="1979B44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原生质体（细胞除细胞壁以外的部分）表面积大小的变化可作为质壁分离实验的检测指标。用葡萄糖基本培养基和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溶液交替处理某假单孢菌，其原生质体表面积的测定结果如图所示。下列叙述错误的是（　　）</w:t>
      </w:r>
    </w:p>
    <w:p w:rsidR="00A03CE9" w14:paraId="6D04B95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75973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E9" w14:paraId="694814E0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甲组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处理不能引起细胞发生质壁分离，表明细胞中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浓度≥</w:t>
      </w:r>
      <w:r>
        <w:rPr>
          <w:rFonts w:eastAsia="Times New Roman" w:cs="Times New Roman"/>
          <w:color w:val="000000"/>
        </w:rPr>
        <w:t>0.3 mol/L</w:t>
      </w:r>
    </w:p>
    <w:p w:rsidR="00A03CE9" w14:paraId="0D55CB6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乙、丙组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处理皆使细胞质壁分离，处理解除后细胞即可发生质壁分离复原</w:t>
      </w:r>
    </w:p>
    <w:p w:rsidR="00A03CE9" w14:paraId="2F68720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该菌的正常生长和吸水都可导致原生质体表面积增加</w:t>
      </w:r>
    </w:p>
    <w:p w:rsidR="00A03CE9" w14:paraId="54EB40F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若将该菌先</w:t>
      </w:r>
      <w:r>
        <w:rPr>
          <w:rFonts w:eastAsia="Times New Roman" w:cs="Times New Roman"/>
          <w:color w:val="000000"/>
        </w:rPr>
        <w:t>65℃</w:t>
      </w:r>
      <w:r>
        <w:rPr>
          <w:rFonts w:ascii="宋体" w:hAnsi="宋体"/>
          <w:color w:val="000000"/>
        </w:rPr>
        <w:t>水浴灭活后，再用</w:t>
      </w:r>
      <w:r>
        <w:rPr>
          <w:rFonts w:eastAsia="Times New Roman" w:cs="Times New Roman"/>
          <w:color w:val="000000"/>
        </w:rPr>
        <w:t xml:space="preserve"> NaCl</w:t>
      </w:r>
      <w:r>
        <w:rPr>
          <w:rFonts w:ascii="宋体" w:hAnsi="宋体"/>
          <w:color w:val="000000"/>
        </w:rPr>
        <w:t>溶液处理，原生质体表面积无变化</w:t>
      </w:r>
    </w:p>
    <w:p w:rsidR="00A03CE9" w14:paraId="60276BE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病原体入侵引起机体免疫应答，释放免疫活性物质。过度免疫应答造成机体炎症损伤，机体可通过一系列反应来降低损伤，如图所示。下列叙述错误的是（　　）</w:t>
      </w:r>
    </w:p>
    <w:p w:rsidR="00A03CE9" w14:paraId="6363CE5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00650" cy="176212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E9" w14:paraId="06EFD3C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免疫活性物质可与相应受体结合，从而调节神经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内分泌系统功能</w:t>
      </w:r>
    </w:p>
    <w:p w:rsidR="00A03CE9" w14:paraId="399B0EB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适度使用肾上腺皮质激素可缓解某些病原体引起的过度炎症反应</w:t>
      </w:r>
    </w:p>
    <w:p w:rsidR="00A03CE9" w14:paraId="0C8F810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过度炎症反应引起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免疫抑制会增加机体肿瘤发生风险</w:t>
      </w:r>
    </w:p>
    <w:p w:rsidR="00A03CE9" w14:paraId="7854E1F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图中神经递质与肾上腺皮质激素对下丘脑分泌</w:t>
      </w:r>
      <w:r>
        <w:rPr>
          <w:rFonts w:eastAsia="Times New Roman" w:cs="Times New Roman"/>
          <w:color w:val="000000"/>
        </w:rPr>
        <w:t>CRH</w:t>
      </w:r>
      <w:r>
        <w:rPr>
          <w:rFonts w:ascii="宋体" w:hAnsi="宋体"/>
          <w:color w:val="000000"/>
        </w:rPr>
        <w:t>有协同促进作用</w:t>
      </w:r>
    </w:p>
    <w:p w:rsidR="00A03CE9" w14:paraId="6B6EDD4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稻蝗属的三个近缘物种①日本稻蝗、②中华稻蝗台湾亚种和③小翅稻蝗中，①与②、①与③的分布区域有重叠，②与③的分布区域不重叠。为探究它们之间的生殖隔离机制，进行了种间交配实验，结果如表所示。下列叙述错误的是（　　）</w:t>
      </w:r>
    </w:p>
    <w:tbl>
      <w:tblPr>
        <w:tblW w:w="6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275"/>
        <w:gridCol w:w="870"/>
        <w:gridCol w:w="870"/>
        <w:gridCol w:w="870"/>
        <w:gridCol w:w="870"/>
        <w:gridCol w:w="870"/>
        <w:gridCol w:w="870"/>
      </w:tblGrid>
      <w:tr w14:paraId="57486F7E" w14:textId="77777777">
        <w:tblPrEx>
          <w:tblW w:w="64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60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72C17DB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交配（</w:t>
            </w:r>
            <w:r>
              <w:rPr>
                <w:rFonts w:eastAsia="Times New Roman" w:cs="Times New Roman"/>
                <w:color w:val="000000"/>
              </w:rPr>
              <w:t>♀</w:t>
            </w:r>
            <w:r>
              <w:rPr>
                <w:rFonts w:ascii="宋体" w:hAnsi="宋体"/>
                <w:color w:val="000000"/>
              </w:rPr>
              <w:t>×</w:t>
            </w:r>
            <w:r>
              <w:rPr>
                <w:rFonts w:eastAsia="Times New Roman" w:cs="Times New Roman"/>
                <w:color w:val="000000"/>
              </w:rPr>
              <w:t>♂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19BFA6A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①×②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7E25D6C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②×①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226B274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①×③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198EB27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③×①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281F6EF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②×③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EEAF867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③×②</w:t>
            </w:r>
          </w:p>
        </w:tc>
      </w:tr>
      <w:tr w14:paraId="54C8BB21" w14:textId="77777777">
        <w:tblPrEx>
          <w:tblW w:w="64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0EA1A14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交配率（</w:t>
            </w:r>
            <w:r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FF73AEB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A9C386A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62D1BD6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16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B91DF12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62798D1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46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81E7DB1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18</w:t>
            </w:r>
          </w:p>
        </w:tc>
      </w:tr>
      <w:tr w14:paraId="27AFC7DF" w14:textId="77777777">
        <w:tblPrEx>
          <w:tblW w:w="64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3BFB3EF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精子传送率（</w:t>
            </w:r>
            <w:r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C66B496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B2AB362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030AF16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6B9BBD4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E678FE0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60778BD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100</w:t>
            </w:r>
          </w:p>
        </w:tc>
      </w:tr>
    </w:tbl>
    <w:p w:rsidR="00A03CE9" w14:paraId="1D938E5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注</w:t>
      </w:r>
      <w:r>
        <w:rPr>
          <w:rFonts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精子传送率是指受精囊中有精子的雌虫占确认交配雌虫的百分比</w:t>
      </w:r>
    </w:p>
    <w:p w:rsidR="00A03CE9" w14:paraId="40C8F27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实验结果表明近缘物种之间也可进行交配</w:t>
      </w:r>
    </w:p>
    <w:p w:rsidR="00A03CE9" w14:paraId="780A2B3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生殖隔离与物种的分布区域是否重叠无关</w:t>
      </w:r>
    </w:p>
    <w:p w:rsidR="00A03CE9" w14:paraId="392916C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隔离是物种形成的必要条件</w:t>
      </w:r>
    </w:p>
    <w:p w:rsidR="00A03CE9" w14:paraId="785CA24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②和③之间可进行基因交流</w:t>
      </w:r>
    </w:p>
    <w:p w:rsidR="00A03CE9" w14:paraId="14CAFFB3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二、选择题</w:t>
      </w:r>
      <w:r>
        <w:rPr>
          <w:rFonts w:eastAsia="Times New Roman" w:cs="Times New Roman"/>
          <w:b/>
          <w:color w:val="000000"/>
          <w:sz w:val="24"/>
        </w:rPr>
        <w:t>:</w:t>
      </w:r>
      <w:r>
        <w:rPr>
          <w:rFonts w:ascii="宋体" w:hAnsi="宋体"/>
          <w:b/>
          <w:color w:val="000000"/>
          <w:sz w:val="24"/>
        </w:rPr>
        <w:t>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小题，在每小题给出的四个选项中，有的只有一项符合题目要求，有的有多项符合题目要求。</w:t>
      </w:r>
    </w:p>
    <w:p w:rsidR="00A03CE9" w14:paraId="4AC0319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在夏季晴朗无云的白天，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时左右某植物光合作用强度达到峰值，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时左右光合作用强度明显减弱。光合作用强度减弱的原因可能是（　　）</w:t>
      </w:r>
    </w:p>
    <w:p w:rsidR="00A03CE9" w14:paraId="4A3B7D9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叶片蒸腾作用强，失水过多使气孔部分关闭，进入体内的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量减少</w:t>
      </w:r>
    </w:p>
    <w:p w:rsidR="00A03CE9" w14:paraId="674D0C5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光合酶活性降低，呼吸酶不受影响，呼吸释放的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量大于光合固定的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量</w:t>
      </w:r>
    </w:p>
    <w:p w:rsidR="00A03CE9" w14:paraId="11DFA90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叶绿体内膜上的部分光合色素被光破坏，吸收和传递光能的效率降低</w:t>
      </w:r>
    </w:p>
    <w:p w:rsidR="00A03CE9" w14:paraId="4C63F3D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光反应产物积累，产生反馈抑制，叶片转化光能的能力下降</w:t>
      </w:r>
    </w:p>
    <w:p w:rsidR="00A03CE9" w14:paraId="318F575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大肠杆菌核糖体蛋白与</w:t>
      </w:r>
      <w:r>
        <w:rPr>
          <w:rFonts w:eastAsia="Times New Roman" w:cs="Times New Roman"/>
          <w:color w:val="000000"/>
        </w:rPr>
        <w:t>rRNA</w:t>
      </w:r>
      <w:r>
        <w:rPr>
          <w:rFonts w:ascii="宋体" w:hAnsi="宋体"/>
          <w:color w:val="000000"/>
        </w:rPr>
        <w:t>分子亲和力较强，二者组装成核糖体。当细胞中缺乏足够的</w:t>
      </w:r>
      <w:r>
        <w:rPr>
          <w:rFonts w:eastAsia="Times New Roman" w:cs="Times New Roman"/>
          <w:color w:val="000000"/>
        </w:rPr>
        <w:t>rRNA</w:t>
      </w:r>
      <w:r>
        <w:rPr>
          <w:rFonts w:ascii="宋体" w:hAnsi="宋体"/>
          <w:color w:val="000000"/>
        </w:rPr>
        <w:t>分子时，核糖体蛋白可通过结合到自身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分子上的核糖体结合位点而产生翻译抑制。下列叙述错误的是（　　）</w:t>
      </w:r>
    </w:p>
    <w:p w:rsidR="00A03CE9" w14:paraId="6315F6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一个核糖体蛋白的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分子上可相继结合多个核糖体，同时合成多条肽链</w:t>
      </w:r>
    </w:p>
    <w:p w:rsidR="00A03CE9" w14:paraId="5C9F57A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细胞中有足够的</w:t>
      </w:r>
      <w:r>
        <w:rPr>
          <w:rFonts w:eastAsia="Times New Roman" w:cs="Times New Roman"/>
          <w:color w:val="000000"/>
        </w:rPr>
        <w:t>rRNA</w:t>
      </w:r>
      <w:r>
        <w:rPr>
          <w:rFonts w:ascii="宋体" w:hAnsi="宋体"/>
          <w:color w:val="000000"/>
        </w:rPr>
        <w:t>分子时，核糖体蛋白通常不会结合自身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分子</w:t>
      </w:r>
    </w:p>
    <w:p w:rsidR="00A03CE9" w14:paraId="67F3A8B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核糖体蛋白对自身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翻译的抑制维持了</w:t>
      </w:r>
      <w:r>
        <w:rPr>
          <w:rFonts w:eastAsia="Times New Roman" w:cs="Times New Roman"/>
          <w:color w:val="000000"/>
        </w:rPr>
        <w:t>RNA</w:t>
      </w:r>
      <w:r>
        <w:rPr>
          <w:rFonts w:ascii="宋体" w:hAnsi="宋体"/>
          <w:color w:val="000000"/>
        </w:rPr>
        <w:t>和核糖体蛋白数量上的平衡</w:t>
      </w:r>
    </w:p>
    <w:p w:rsidR="00A03CE9" w14:paraId="099C740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编码该核糖体蛋白的基因转录完成后，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才能与核糖体结合进行翻译</w:t>
      </w:r>
    </w:p>
    <w:p w:rsidR="00A03CE9" w14:paraId="521B50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果蝇的红眼对白眼为显性，为伴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遗传，灰身与黑身、长翅与截翅各由一对基因控制，显隐性关系及其位于常染色体或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染色体上未知。纯合红眼黑身长翅雌果蝇与白眼灰身截翅雄果蝇杂交，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相互杂交，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中体色与翅型的表现型及比例为灰身长翅</w:t>
      </w:r>
      <w:r>
        <w:rPr>
          <w:rFonts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灰身截翅</w:t>
      </w:r>
      <w:r>
        <w:rPr>
          <w:rFonts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黑身长翅</w:t>
      </w:r>
      <w:r>
        <w:rPr>
          <w:rFonts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黑身截翅</w:t>
      </w:r>
      <w:r>
        <w:rPr>
          <w:rFonts w:eastAsia="Times New Roman" w:cs="Times New Roman"/>
          <w:color w:val="000000"/>
        </w:rPr>
        <w:t>=9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表现型中不可能出现（　　）</w:t>
      </w:r>
    </w:p>
    <w:p w:rsidR="00A03CE9" w14:paraId="7CE8A442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黑身全为雄性</w:t>
      </w:r>
      <w:r>
        <w:rPr>
          <w:rFonts w:ascii="宋体" w:hAnsi="宋体"/>
          <w:color w:val="000000"/>
        </w:rPr>
        <w:tab/>
        <w:t>B. 截翅全为雄性</w:t>
      </w:r>
      <w:r>
        <w:rPr>
          <w:rFonts w:ascii="宋体" w:hAnsi="宋体"/>
          <w:color w:val="000000"/>
        </w:rPr>
        <w:tab/>
        <w:t>C. 长翅全为雌性</w:t>
      </w:r>
      <w:r>
        <w:rPr>
          <w:rFonts w:ascii="宋体" w:hAnsi="宋体"/>
          <w:color w:val="000000"/>
        </w:rPr>
        <w:tab/>
        <w:t>D. 截翅全为白眼</w:t>
      </w:r>
    </w:p>
    <w:p w:rsidR="00A03CE9" w14:paraId="03F269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植物受到创伤可诱导植物激素茉莉酸（</w:t>
      </w:r>
      <w:r>
        <w:rPr>
          <w:rFonts w:eastAsia="Times New Roman" w:cs="Times New Roman"/>
          <w:color w:val="000000"/>
        </w:rPr>
        <w:t>JA</w:t>
      </w:r>
      <w:r>
        <w:rPr>
          <w:rFonts w:ascii="宋体" w:hAnsi="宋体"/>
          <w:color w:val="000000"/>
        </w:rPr>
        <w:t>）的合成，</w:t>
      </w:r>
      <w:r>
        <w:rPr>
          <w:rFonts w:eastAsia="Times New Roman" w:cs="Times New Roman"/>
          <w:color w:val="000000"/>
        </w:rPr>
        <w:t>JA</w:t>
      </w:r>
      <w:r>
        <w:rPr>
          <w:rFonts w:ascii="宋体" w:hAnsi="宋体"/>
          <w:color w:val="000000"/>
        </w:rPr>
        <w:t>在伤害部位或运输到未伤害部位被受体感应而产生蛋白酶抑制剂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PI-</w:t>
      </w:r>
      <w:r>
        <w:rPr>
          <w:rFonts w:ascii="宋体" w:hAnsi="宋体"/>
          <w:color w:val="000000"/>
        </w:rPr>
        <w:t>Ⅱ），该现象可通过嫁接试验证明。试验涉及突变体</w:t>
      </w:r>
      <w:r>
        <w:rPr>
          <w:rFonts w:eastAsia="Times New Roman" w:cs="Times New Roman"/>
          <w:color w:val="000000"/>
        </w:rPr>
        <w:t>ml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m2</w:t>
      </w:r>
      <w:r>
        <w:rPr>
          <w:rFonts w:ascii="宋体" w:hAnsi="宋体"/>
          <w:color w:val="000000"/>
        </w:rPr>
        <w:t>，其中一个不能合成</w:t>
      </w:r>
      <w:r>
        <w:rPr>
          <w:rFonts w:eastAsia="Times New Roman" w:cs="Times New Roman"/>
          <w:color w:val="000000"/>
        </w:rPr>
        <w:t>JA</w:t>
      </w:r>
      <w:r>
        <w:rPr>
          <w:rFonts w:ascii="宋体" w:hAnsi="宋体"/>
          <w:color w:val="000000"/>
        </w:rPr>
        <w:t>，但能感应</w:t>
      </w:r>
      <w:r>
        <w:rPr>
          <w:rFonts w:eastAsia="Times New Roman" w:cs="Times New Roman"/>
          <w:color w:val="000000"/>
        </w:rPr>
        <w:t>JA</w:t>
      </w:r>
      <w:r>
        <w:rPr>
          <w:rFonts w:ascii="宋体" w:hAnsi="宋体"/>
          <w:color w:val="000000"/>
        </w:rPr>
        <w:t>而产生</w:t>
      </w:r>
      <w:r>
        <w:rPr>
          <w:rFonts w:eastAsia="Times New Roman" w:cs="Times New Roman"/>
          <w:color w:val="000000"/>
        </w:rPr>
        <w:t>PI-</w:t>
      </w:r>
      <w:r>
        <w:rPr>
          <w:rFonts w:ascii="宋体" w:hAnsi="宋体"/>
          <w:color w:val="000000"/>
        </w:rPr>
        <w:t>Ⅱ；另一个能合成</w:t>
      </w:r>
      <w:r>
        <w:rPr>
          <w:rFonts w:eastAsia="Times New Roman" w:cs="Times New Roman"/>
          <w:color w:val="000000"/>
        </w:rPr>
        <w:t>JA</w:t>
      </w:r>
      <w:r>
        <w:rPr>
          <w:rFonts w:ascii="宋体" w:hAnsi="宋体"/>
          <w:color w:val="000000"/>
        </w:rPr>
        <w:t>，但对</w:t>
      </w:r>
      <w:r>
        <w:rPr>
          <w:rFonts w:eastAsia="Times New Roman" w:cs="Times New Roman"/>
          <w:color w:val="000000"/>
        </w:rPr>
        <w:t>JA</w:t>
      </w:r>
      <w:r>
        <w:rPr>
          <w:rFonts w:ascii="宋体" w:hAnsi="宋体"/>
          <w:color w:val="000000"/>
        </w:rPr>
        <w:t>不敏感。嫁接试验的接穗和砧木叶片中</w:t>
      </w:r>
      <w:r>
        <w:rPr>
          <w:rFonts w:eastAsia="Times New Roman" w:cs="Times New Roman"/>
          <w:color w:val="000000"/>
        </w:rPr>
        <w:t>PI-</w:t>
      </w:r>
      <w:r>
        <w:rPr>
          <w:rFonts w:ascii="宋体" w:hAnsi="宋体"/>
          <w:color w:val="000000"/>
        </w:rPr>
        <w:t>Ⅱ的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相对表达量的检测结果如图表所示。</w:t>
      </w:r>
    </w:p>
    <w:p w:rsidR="00A03CE9" w14:paraId="05BA68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942975" cy="11334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360"/>
        <w:gridCol w:w="477"/>
        <w:gridCol w:w="596"/>
        <w:gridCol w:w="450"/>
        <w:gridCol w:w="450"/>
        <w:gridCol w:w="450"/>
        <w:gridCol w:w="596"/>
        <w:gridCol w:w="477"/>
        <w:gridCol w:w="596"/>
        <w:gridCol w:w="450"/>
        <w:gridCol w:w="450"/>
        <w:gridCol w:w="450"/>
        <w:gridCol w:w="450"/>
        <w:gridCol w:w="477"/>
        <w:gridCol w:w="596"/>
      </w:tblGrid>
      <w:tr w14:paraId="643882F3" w14:textId="77777777"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B4104B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嫁接类型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85F45D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352425" cy="314325"/>
                  <wp:effectExtent l="0" t="0" r="0" b="0"/>
                  <wp:docPr id="100012" name="图片 10001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A06FCA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304800" cy="314325"/>
                  <wp:effectExtent l="0" t="0" r="0" b="0"/>
                  <wp:docPr id="100013" name="图片 10001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91791A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342900" cy="323850"/>
                  <wp:effectExtent l="0" t="0" r="0" b="0"/>
                  <wp:docPr id="100014" name="图片 10001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83C48C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352425" cy="342900"/>
                  <wp:effectExtent l="0" t="0" r="0" b="0"/>
                  <wp:docPr id="100015" name="图片 10001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BBFE2B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361950" cy="333375"/>
                  <wp:effectExtent l="0" t="0" r="0" b="0"/>
                  <wp:docPr id="100016" name="图片 10001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B694EB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323850" cy="304800"/>
                  <wp:effectExtent l="0" t="0" r="0" b="0"/>
                  <wp:docPr id="100017" name="图片 10001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1FD79D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323850" cy="314325"/>
                  <wp:effectExtent l="0" t="0" r="0" b="0"/>
                  <wp:docPr id="100018" name="图片 100018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4F462C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7048D8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砧木叶片创伤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4B73BE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482EDE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DEDABF4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01EAA55B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1D6554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6912CC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A6FA56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82A76A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0017C5A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B068CB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550CAF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786D9E4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0B61E536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5A2F2F4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是</w:t>
            </w:r>
          </w:p>
        </w:tc>
      </w:tr>
      <w:tr w14:paraId="139813C8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743BD0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接穗叶片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CB8AF5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42B234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5F514A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62593BF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AA1DAD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E54EC0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0AF0A47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CE11DE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343F54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124F1D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15EB18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8CD5B8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93C97C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497189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+++</w:t>
            </w:r>
          </w:p>
        </w:tc>
      </w:tr>
      <w:tr w14:paraId="1273C026" w14:textId="77777777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C3BA3D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砧木叶片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709543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BEF6A3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AC9887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085B6B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4C06B9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4ED690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2E25F0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16529B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0FE7A4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DA6722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576130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DC459F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00BD4184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787091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+++</w:t>
            </w:r>
          </w:p>
        </w:tc>
      </w:tr>
    </w:tbl>
    <w:p w:rsidR="00A03CE9" w14:paraId="7D9F314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注</w:t>
      </w:r>
      <w:r>
        <w:rPr>
          <w:rFonts w:eastAsia="Times New Roman" w:cs="Times New Roman"/>
          <w:color w:val="000000"/>
        </w:rPr>
        <w:t>:WT</w:t>
      </w:r>
      <w:r>
        <w:rPr>
          <w:rFonts w:ascii="宋体" w:hAnsi="宋体"/>
          <w:color w:val="000000"/>
        </w:rPr>
        <w:t>为野生型，</w:t>
      </w:r>
      <w:r>
        <w:rPr>
          <w:rFonts w:eastAsia="Times New Roman" w:cs="Times New Roman"/>
          <w:color w:val="000000"/>
        </w:rPr>
        <w:t>ml</w:t>
      </w:r>
      <w:r>
        <w:rPr>
          <w:rFonts w:ascii="宋体" w:hAnsi="宋体"/>
          <w:color w:val="000000"/>
        </w:rPr>
        <w:t>为突变体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m2</w:t>
      </w:r>
      <w:r>
        <w:rPr>
          <w:rFonts w:ascii="宋体" w:hAnsi="宋体"/>
          <w:color w:val="000000"/>
        </w:rPr>
        <w:t>为突变体</w:t>
      </w:r>
      <w:r>
        <w:rPr>
          <w:rFonts w:eastAsia="Times New Roman" w:cs="Times New Roman"/>
          <w:color w:val="000000"/>
        </w:rPr>
        <w:t>2;</w:t>
      </w:r>
      <w:r>
        <w:rPr>
          <w:rFonts w:ascii="宋体" w:hAnsi="宋体"/>
          <w:color w:val="000000"/>
        </w:rPr>
        <w:t>“……”代表嫁接，上方为接穗，下方为砧木</w:t>
      </w:r>
      <w:r>
        <w:rPr>
          <w:rFonts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“</w:t>
      </w:r>
      <w:r>
        <w:rPr>
          <w:rFonts w:eastAsia="Times New Roman" w:cs="Times New Roman"/>
          <w:color w:val="000000"/>
        </w:rPr>
        <w:t>+</w:t>
      </w:r>
      <w:r>
        <w:rPr>
          <w:rFonts w:ascii="宋体" w:hAnsi="宋体"/>
          <w:color w:val="000000"/>
        </w:rPr>
        <w:t>”“－”分别表示有无，“</w:t>
      </w:r>
      <w:r>
        <w:rPr>
          <w:rFonts w:eastAsia="Times New Roman" w:cs="Times New Roman"/>
          <w:color w:val="000000"/>
        </w:rPr>
        <w:t>+</w:t>
      </w:r>
      <w:r>
        <w:rPr>
          <w:rFonts w:ascii="宋体" w:hAnsi="宋体"/>
          <w:color w:val="000000"/>
        </w:rPr>
        <w:t>”越多表示表达量越高</w:t>
      </w:r>
    </w:p>
    <w:p w:rsidR="00A03CE9" w14:paraId="5F31F82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下列判断或推测正确的是（　　）</w:t>
      </w:r>
    </w:p>
    <w:p w:rsidR="00A03CE9" w14:paraId="1B09291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ml</w:t>
      </w:r>
      <w:r>
        <w:rPr>
          <w:rFonts w:ascii="宋体" w:hAnsi="宋体"/>
          <w:color w:val="000000"/>
        </w:rPr>
        <w:t>不能合成</w:t>
      </w:r>
      <w:r>
        <w:rPr>
          <w:rFonts w:eastAsia="Times New Roman" w:cs="Times New Roman"/>
          <w:color w:val="000000"/>
        </w:rPr>
        <w:t>JA</w:t>
      </w:r>
      <w:r>
        <w:rPr>
          <w:rFonts w:ascii="宋体" w:hAnsi="宋体"/>
          <w:color w:val="000000"/>
        </w:rPr>
        <w:t>，但能感应</w:t>
      </w:r>
      <w:r>
        <w:rPr>
          <w:rFonts w:eastAsia="Times New Roman" w:cs="Times New Roman"/>
          <w:color w:val="000000"/>
        </w:rPr>
        <w:t>JA</w:t>
      </w:r>
      <w:r>
        <w:rPr>
          <w:rFonts w:ascii="宋体" w:hAnsi="宋体"/>
          <w:color w:val="000000"/>
        </w:rPr>
        <w:t>而产生</w:t>
      </w:r>
      <w:r>
        <w:rPr>
          <w:rFonts w:eastAsia="Times New Roman" w:cs="Times New Roman"/>
          <w:color w:val="000000"/>
        </w:rPr>
        <w:t>PI-</w:t>
      </w:r>
      <w:r>
        <w:rPr>
          <w:rFonts w:ascii="宋体" w:hAnsi="宋体"/>
          <w:color w:val="000000"/>
        </w:rPr>
        <w:t>Ⅱ</w:t>
      </w:r>
    </w:p>
    <w:p w:rsidR="00A03CE9" w14:paraId="4979163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嫁接也产生轻微伤害，可导致少量表达</w:t>
      </w:r>
      <w:r>
        <w:rPr>
          <w:rFonts w:eastAsia="Times New Roman" w:cs="Times New Roman"/>
          <w:color w:val="000000"/>
        </w:rPr>
        <w:t>PI-</w:t>
      </w:r>
      <w:r>
        <w:rPr>
          <w:rFonts w:ascii="宋体" w:hAnsi="宋体"/>
          <w:color w:val="000000"/>
        </w:rPr>
        <w:t>Ⅱ</w:t>
      </w:r>
    </w:p>
    <w:p w:rsidR="00A03CE9" w14:paraId="4555254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嫁接类型</w:t>
      </w:r>
      <w:r>
        <w:rPr>
          <w:rFonts w:eastAsia="Times New Roman" w:cs="Times New Roman"/>
          <w:color w:val="000000"/>
        </w:rPr>
        <w:t>ml/m2</w:t>
      </w:r>
      <w:r>
        <w:rPr>
          <w:rFonts w:ascii="宋体" w:hAnsi="宋体"/>
          <w:color w:val="000000"/>
        </w:rPr>
        <w:t>叶片创伤，</w:t>
      </w:r>
      <w:r>
        <w:rPr>
          <w:rFonts w:eastAsia="Times New Roman" w:cs="Times New Roman"/>
          <w:color w:val="000000"/>
        </w:rPr>
        <w:t>ml</w:t>
      </w:r>
      <w:r>
        <w:rPr>
          <w:rFonts w:ascii="宋体" w:hAnsi="宋体"/>
          <w:color w:val="000000"/>
        </w:rPr>
        <w:t>中大量表达</w:t>
      </w:r>
      <w:r>
        <w:rPr>
          <w:rFonts w:eastAsia="Times New Roman" w:cs="Times New Roman"/>
          <w:color w:val="000000"/>
        </w:rPr>
        <w:t>PI-</w:t>
      </w:r>
      <w:r>
        <w:rPr>
          <w:rFonts w:ascii="宋体" w:hAnsi="宋体"/>
          <w:color w:val="000000"/>
        </w:rPr>
        <w:t>Ⅱ</w:t>
      </w:r>
    </w:p>
    <w:p w:rsidR="00A03CE9" w14:paraId="6E84CA1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嫁接类型</w:t>
      </w:r>
      <w:r>
        <w:rPr>
          <w:rFonts w:eastAsia="Times New Roman" w:cs="Times New Roman"/>
          <w:color w:val="000000"/>
        </w:rPr>
        <w:t>m2/m1</w:t>
      </w:r>
      <w:r>
        <w:rPr>
          <w:rFonts w:ascii="宋体" w:hAnsi="宋体"/>
          <w:color w:val="000000"/>
        </w:rPr>
        <w:t>叶片创伤，</w:t>
      </w:r>
      <w:r>
        <w:rPr>
          <w:rFonts w:eastAsia="Times New Roman" w:cs="Times New Roman"/>
          <w:color w:val="000000"/>
        </w:rPr>
        <w:t>m2</w:t>
      </w:r>
      <w:r>
        <w:rPr>
          <w:rFonts w:ascii="宋体" w:hAnsi="宋体"/>
          <w:color w:val="000000"/>
        </w:rPr>
        <w:t>中大量表达</w:t>
      </w:r>
      <w:r>
        <w:rPr>
          <w:rFonts w:eastAsia="Times New Roman" w:cs="Times New Roman"/>
          <w:color w:val="000000"/>
        </w:rPr>
        <w:t>PI-</w:t>
      </w:r>
      <w:r>
        <w:rPr>
          <w:rFonts w:ascii="宋体" w:hAnsi="宋体"/>
          <w:color w:val="000000"/>
        </w:rPr>
        <w:t>Ⅱ</w:t>
      </w:r>
    </w:p>
    <w:p w:rsidR="00A03CE9" w14:paraId="7749F3BA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</w:t>
      </w:r>
      <w:r>
        <w:rPr>
          <w:rFonts w:eastAsia="Times New Roman" w:cs="Times New Roman"/>
          <w:b/>
          <w:color w:val="000000"/>
          <w:sz w:val="24"/>
        </w:rPr>
        <w:t>:</w:t>
      </w:r>
      <w:r>
        <w:rPr>
          <w:rFonts w:ascii="宋体" w:hAnsi="宋体"/>
          <w:b/>
          <w:color w:val="000000"/>
          <w:sz w:val="24"/>
        </w:rPr>
        <w:t>包括必考题和选考题两部分。第</w:t>
      </w:r>
      <w:r>
        <w:rPr>
          <w:rFonts w:eastAsia="Times New Roman" w:cs="Times New Roman"/>
          <w:b/>
          <w:color w:val="000000"/>
          <w:sz w:val="24"/>
        </w:rPr>
        <w:t>17</w:t>
      </w:r>
      <w:r>
        <w:rPr>
          <w:rFonts w:ascii="宋体" w:hAnsi="宋体"/>
          <w:b/>
          <w:color w:val="000000"/>
          <w:sz w:val="24"/>
        </w:rPr>
        <w:t>～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题为必考题，每个试题考生都必须作答。第</w:t>
      </w:r>
      <w:r>
        <w:rPr>
          <w:rFonts w:eastAsia="Times New Roman" w:cs="Times New Roman"/>
          <w:b/>
          <w:color w:val="000000"/>
          <w:sz w:val="24"/>
        </w:rPr>
        <w:t xml:space="preserve"> 21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题为选考题，考生根据要求作答。</w:t>
      </w:r>
    </w:p>
    <w:p w:rsidR="00A03CE9" w14:paraId="6B180DE5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（一）必考题</w:t>
      </w:r>
      <w:r>
        <w:rPr>
          <w:rFonts w:eastAsia="Times New Roman" w:cs="Times New Roman"/>
          <w:b/>
          <w:color w:val="000000"/>
          <w:sz w:val="24"/>
        </w:rPr>
        <w:t>:</w:t>
      </w:r>
      <w:r>
        <w:rPr>
          <w:rFonts w:ascii="宋体" w:hAnsi="宋体"/>
          <w:b/>
          <w:color w:val="000000"/>
          <w:sz w:val="24"/>
        </w:rPr>
        <w:t>此题包括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45</w:t>
      </w:r>
      <w:r>
        <w:rPr>
          <w:rFonts w:ascii="宋体" w:hAnsi="宋体"/>
          <w:b/>
          <w:color w:val="000000"/>
          <w:sz w:val="24"/>
        </w:rPr>
        <w:t>分。</w:t>
      </w:r>
    </w:p>
    <w:p w:rsidR="00A03CE9" w14:paraId="14D9F69E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将纯净水洗净的河沙倒入洁净的玻璃缸中制成沙床，作为种子萌发和植株生长的基质。某水稻品种在光照强度为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～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μ</w:t>
      </w:r>
      <w:r>
        <w:rPr>
          <w:rFonts w:eastAsia="Times New Roman" w:cs="Times New Roman"/>
          <w:color w:val="000000"/>
        </w:rPr>
        <w:t>mol/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·</w:t>
      </w:r>
      <w:r>
        <w:rPr>
          <w:rFonts w:eastAsia="Times New Roman" w:cs="Times New Roman"/>
          <w:color w:val="000000"/>
        </w:rPr>
        <w:t>m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）时，固定的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量等于呼吸作用释放的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量</w:t>
      </w:r>
      <w:r>
        <w:rPr>
          <w:rFonts w:eastAsia="Times New Roman" w:cs="Times New Roman"/>
          <w:color w:val="000000"/>
        </w:rPr>
        <w:t>;</w:t>
      </w:r>
      <w:r>
        <w:rPr>
          <w:rFonts w:ascii="宋体" w:hAnsi="宋体"/>
          <w:color w:val="000000"/>
        </w:rPr>
        <w:t>日照时长短于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小时才能开花。将新采收并解除休眠的该水稻种子表面消毒，浸种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天后，播种于沙床上。将沙床置于人工气候室中，保湿透气，昼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夜温为</w:t>
      </w:r>
      <w:r>
        <w:rPr>
          <w:rFonts w:eastAsia="Times New Roman" w:cs="Times New Roman"/>
          <w:color w:val="000000"/>
        </w:rPr>
        <w:t>35</w:t>
      </w:r>
      <w:r>
        <w:rPr>
          <w:rFonts w:ascii="宋体" w:hAnsi="宋体"/>
          <w:color w:val="000000"/>
        </w:rPr>
        <w:t>℃</w:t>
      </w:r>
      <w:r>
        <w:rPr>
          <w:rFonts w:eastAsia="Times New Roman" w:cs="Times New Roman"/>
          <w:color w:val="000000"/>
        </w:rPr>
        <w:t>/25</w:t>
      </w:r>
      <w:r>
        <w:rPr>
          <w:rFonts w:ascii="宋体" w:hAnsi="宋体"/>
          <w:color w:val="000000"/>
        </w:rPr>
        <w:t>℃，光照强度为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μ</w:t>
      </w:r>
      <w:r>
        <w:rPr>
          <w:rFonts w:eastAsia="Times New Roman" w:cs="Times New Roman"/>
          <w:color w:val="000000"/>
        </w:rPr>
        <w:t>mol/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·</w:t>
      </w:r>
      <w:r>
        <w:rPr>
          <w:rFonts w:eastAsia="Times New Roman" w:cs="Times New Roman"/>
          <w:color w:val="000000"/>
        </w:rPr>
        <w:t>m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），每天光照时长为</w:t>
      </w:r>
      <w:r>
        <w:rPr>
          <w:rFonts w:eastAsia="Times New Roman" w:cs="Times New Roman"/>
          <w:color w:val="000000"/>
        </w:rPr>
        <w:t>14</w:t>
      </w:r>
      <w:r>
        <w:rPr>
          <w:rFonts w:ascii="宋体" w:hAnsi="宋体"/>
          <w:color w:val="000000"/>
        </w:rPr>
        <w:t>小时。回答下列问题</w:t>
      </w:r>
      <w:r>
        <w:rPr>
          <w:rFonts w:eastAsia="Times New Roman" w:cs="Times New Roman"/>
          <w:color w:val="000000"/>
        </w:rPr>
        <w:t>:</w:t>
      </w:r>
    </w:p>
    <w:p w:rsidR="00A03CE9" w14:paraId="08D6B89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（1）在此条件下，该水稻种子____（填“能”或“不能”）萌发并成苗（以株高≥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厘米，至少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片绿叶视为成苗），理由是_____________________________。</w:t>
      </w:r>
    </w:p>
    <w:p w:rsidR="00A03CE9" w14:paraId="3073F3E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（2）若将该水稻适龄秧苗栽植于上述沙床上，光照强度为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μ</w:t>
      </w:r>
      <w:r>
        <w:rPr>
          <w:rFonts w:eastAsia="Times New Roman" w:cs="Times New Roman"/>
          <w:color w:val="000000"/>
        </w:rPr>
        <w:t>mol/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·</w:t>
      </w:r>
      <w:r>
        <w:rPr>
          <w:rFonts w:eastAsia="Times New Roman" w:cs="Times New Roman"/>
          <w:color w:val="000000"/>
        </w:rPr>
        <w:t>m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），其他条件与上述实验相同，该水稻___（填“能”或“不能”）繁育出新的种子，理由是___________________（答出两点即可）。</w:t>
      </w:r>
    </w:p>
    <w:p w:rsidR="00A03CE9" w14:paraId="6B610BE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（3）若该水稻种子用于稻田直播（即将种子直接撒播于农田），为防鸟害、鼠害减少杂草生长，须灌水覆盖，该种子应具有_________特性。</w:t>
      </w:r>
    </w:p>
    <w:p w:rsidR="00A03CE9" w14:paraId="0513A4F2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当内外环境变化使体温波动时，皮肤及机体内部的温度感受器将信息传入体温调节中枢，通过产热和散热反应，维持体温相对稳定。回答下列问题</w:t>
      </w:r>
      <w:r>
        <w:rPr>
          <w:rFonts w:eastAsia="Times New Roman" w:cs="Times New Roman"/>
          <w:color w:val="000000"/>
        </w:rPr>
        <w:t>:</w:t>
      </w:r>
    </w:p>
    <w:p w:rsidR="00A03CE9" w14:paraId="5DAB989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（1）炎热环境下，机体通过体温调节增加散热。写出皮肤增加散热的两种方式__________________。</w:t>
      </w:r>
    </w:p>
    <w:p w:rsidR="00A03CE9" w14:paraId="1B09363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（2）机体产热和散热达到平衡时的温度即体温调定点，生理状态下人体调定点为</w:t>
      </w:r>
      <w:r>
        <w:rPr>
          <w:rFonts w:eastAsia="Times New Roman" w:cs="Times New Roman"/>
          <w:color w:val="000000"/>
        </w:rPr>
        <w:t>37</w:t>
      </w:r>
      <w:r>
        <w:rPr>
          <w:rFonts w:ascii="宋体" w:hAnsi="宋体"/>
          <w:color w:val="000000"/>
        </w:rPr>
        <w:t>℃。病原体感染后，机体体温升高并稳定在</w:t>
      </w:r>
      <w:r>
        <w:rPr>
          <w:rFonts w:eastAsia="Times New Roman" w:cs="Times New Roman"/>
          <w:color w:val="000000"/>
        </w:rPr>
        <w:t>38.5</w:t>
      </w:r>
      <w:r>
        <w:rPr>
          <w:rFonts w:ascii="宋体" w:hAnsi="宋体"/>
          <w:color w:val="000000"/>
        </w:rPr>
        <w:t>℃时，与正常状态相比，调定点____（填“上移”“下移”或“不变”），机体产热_______。</w:t>
      </w:r>
    </w:p>
    <w:p w:rsidR="00A03CE9" w14:paraId="4B729F2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（3）若下丘脑体温调节中枢损毁，机体体温不能维持稳定。已知药物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作用于下丘脑体温调节中枢调控体温。现获得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的结构类似物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，为探究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是否也具有解热作用并通过影响下丘脑体温调节中枢调控体温，将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分别用生理盐水溶解后，用发热家兔模型进行了以下实验，请完善实验方案并写出实验结论。</w:t>
      </w:r>
    </w:p>
    <w:tbl>
      <w:tblPr>
        <w:tblW w:w="4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34"/>
        <w:gridCol w:w="2445"/>
        <w:gridCol w:w="966"/>
      </w:tblGrid>
      <w:tr w14:paraId="6C0D0031" w14:textId="77777777">
        <w:tblPrEx>
          <w:tblW w:w="424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0750383E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分组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B8A6849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处理方式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7CF701D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结果</w:t>
            </w:r>
          </w:p>
        </w:tc>
      </w:tr>
      <w:tr w14:paraId="418F4E07" w14:textId="77777777">
        <w:tblPrEx>
          <w:tblW w:w="424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9CD5B26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甲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62EAAA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发热家兔模型</w:t>
            </w:r>
            <w:r>
              <w:rPr>
                <w:rFonts w:eastAsia="Times New Roman" w:cs="Times New Roman"/>
                <w:color w:val="000000"/>
              </w:rPr>
              <w:t>+</w:t>
            </w:r>
            <w:r>
              <w:rPr>
                <w:rFonts w:ascii="宋体" w:hAnsi="宋体"/>
                <w:color w:val="000000"/>
              </w:rPr>
              <w:t>生理盐水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756A1F0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发热</w:t>
            </w:r>
          </w:p>
        </w:tc>
      </w:tr>
      <w:tr w14:paraId="3B17D36A" w14:textId="77777777">
        <w:tblPrEx>
          <w:tblW w:w="424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1B13437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乙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62CFB5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发热家兔模型</w:t>
            </w:r>
            <w:r>
              <w:rPr>
                <w:rFonts w:eastAsia="Times New Roman" w:cs="Times New Roman"/>
                <w:color w:val="000000"/>
              </w:rPr>
              <w:t>+A</w: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6B439BD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退热</w:t>
            </w:r>
          </w:p>
        </w:tc>
      </w:tr>
      <w:tr w14:paraId="0C6FBED5" w14:textId="77777777">
        <w:tblPrEx>
          <w:tblW w:w="424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C16557D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丙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FDA56E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发热家兔模型</w:t>
            </w:r>
            <w:r>
              <w:rPr>
                <w:rFonts w:eastAsia="Times New Roman" w:cs="Times New Roman"/>
                <w:color w:val="000000"/>
              </w:rPr>
              <w:t>+M</w: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645BCFC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退热</w:t>
            </w:r>
          </w:p>
        </w:tc>
      </w:tr>
      <w:tr w14:paraId="3F9AD3EF" w14:textId="77777777">
        <w:tblPrEx>
          <w:tblW w:w="424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5F89618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丁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CA2F0B6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①___________________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1F92F5D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发热</w:t>
            </w:r>
          </w:p>
        </w:tc>
      </w:tr>
    </w:tbl>
    <w:p w:rsidR="00A03CE9" w14:paraId="31C146C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②由甲、乙、丙三组实验结果，得出结论_____________________。</w:t>
      </w:r>
    </w:p>
    <w:p w:rsidR="00A03CE9" w14:paraId="5EC5EB2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③由甲、乙、丙、丁四组实验结果，得出结论_____________________。</w:t>
      </w:r>
    </w:p>
    <w:p w:rsidR="00A03CE9" w14:paraId="69DC3334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中国是传统的水稻种植大国，有一半以上人口以稻米为主食。在培育水稻优良品种的过程中，发现某野生型水稻叶片绿色由基因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控制。回答下列问题</w:t>
      </w:r>
      <w:r>
        <w:rPr>
          <w:rFonts w:eastAsia="Times New Roman" w:cs="Times New Roman"/>
          <w:color w:val="000000"/>
        </w:rPr>
        <w:t>:</w:t>
      </w:r>
    </w:p>
    <w:p w:rsidR="00A03CE9" w14:paraId="3FA5368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（1）突变型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叶片为黄色，由基因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突变为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所致，基因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纯合幼苗期致死。突变型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连续自交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代，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成年植株中黄色叶植株占______。</w:t>
      </w:r>
    </w:p>
    <w:p w:rsidR="00A03CE9" w14:paraId="402963F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（2）测序结果表明，突变基因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转录产物编码序列第</w:t>
      </w:r>
      <w:r>
        <w:rPr>
          <w:rFonts w:eastAsia="Times New Roman" w:cs="Times New Roman"/>
          <w:color w:val="000000"/>
        </w:rPr>
        <w:t>727</w:t>
      </w:r>
      <w:r>
        <w:rPr>
          <w:rFonts w:ascii="宋体" w:hAnsi="宋体"/>
          <w:color w:val="000000"/>
        </w:rPr>
        <w:t>位碱基改变，由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＇</w:t>
      </w:r>
      <w:r>
        <w:rPr>
          <w:rFonts w:eastAsia="Times New Roman" w:cs="Times New Roman"/>
          <w:color w:val="000000"/>
        </w:rPr>
        <w:t>-GAGAG-3</w:t>
      </w:r>
      <w:r>
        <w:rPr>
          <w:rFonts w:ascii="宋体" w:hAnsi="宋体"/>
          <w:color w:val="000000"/>
        </w:rPr>
        <w:t>＇变为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＇</w:t>
      </w:r>
      <w:r>
        <w:rPr>
          <w:rFonts w:eastAsia="Times New Roman" w:cs="Times New Roman"/>
          <w:color w:val="000000"/>
        </w:rPr>
        <w:t>-GACAG-3</w:t>
      </w:r>
      <w:r>
        <w:rPr>
          <w:rFonts w:ascii="宋体" w:hAnsi="宋体"/>
          <w:color w:val="000000"/>
        </w:rPr>
        <w:t>＇，导致第______位氨基酸突变为______，从基因控制性状的角度解释突变体叶片变黄的机理_____________________________________。（部分密码子及对应氨基酸</w:t>
      </w:r>
      <w:r>
        <w:rPr>
          <w:rFonts w:eastAsia="Times New Roman" w:cs="Times New Roman"/>
          <w:color w:val="000000"/>
        </w:rPr>
        <w:t>:GAG</w:t>
      </w:r>
      <w:r>
        <w:rPr>
          <w:rFonts w:ascii="宋体" w:hAnsi="宋体"/>
          <w:color w:val="000000"/>
        </w:rPr>
        <w:t>谷氨酸</w:t>
      </w:r>
      <w:r>
        <w:rPr>
          <w:rFonts w:eastAsia="Times New Roman" w:cs="Times New Roman"/>
          <w:color w:val="000000"/>
        </w:rPr>
        <w:t>;AGA</w:t>
      </w:r>
      <w:r>
        <w:rPr>
          <w:rFonts w:ascii="宋体" w:hAnsi="宋体"/>
          <w:color w:val="000000"/>
        </w:rPr>
        <w:t>精氨酸</w:t>
      </w:r>
      <w:r>
        <w:rPr>
          <w:rFonts w:eastAsia="Times New Roman" w:cs="Times New Roman"/>
          <w:color w:val="000000"/>
        </w:rPr>
        <w:t>;GAC</w:t>
      </w:r>
      <w:r>
        <w:rPr>
          <w:rFonts w:ascii="宋体" w:hAnsi="宋体"/>
          <w:color w:val="000000"/>
        </w:rPr>
        <w:t>天冬氨酸</w:t>
      </w:r>
      <w:r>
        <w:rPr>
          <w:rFonts w:eastAsia="Times New Roman" w:cs="Times New Roman"/>
          <w:color w:val="000000"/>
        </w:rPr>
        <w:t>;ACA</w:t>
      </w:r>
      <w:r>
        <w:rPr>
          <w:rFonts w:ascii="宋体" w:hAnsi="宋体"/>
          <w:color w:val="000000"/>
        </w:rPr>
        <w:t>苏氨酸</w:t>
      </w:r>
      <w:r>
        <w:rPr>
          <w:rFonts w:eastAsia="Times New Roman" w:cs="Times New Roman"/>
          <w:color w:val="000000"/>
        </w:rPr>
        <w:t>;CAG</w:t>
      </w:r>
      <w:r>
        <w:rPr>
          <w:rFonts w:ascii="宋体" w:hAnsi="宋体"/>
          <w:color w:val="000000"/>
        </w:rPr>
        <w:t>谷氨酰胺）</w:t>
      </w:r>
    </w:p>
    <w:p w:rsidR="00A03CE9" w14:paraId="0EED81F5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（3）由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突变为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产生了一个限制酶酶切位点。从突变型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叶片细胞中获取控制叶片颜色的基因片段，用限制酶处理后进行电泳（电泳条带表示特定长度的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片段），其结果为图中___（填“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”“Ⅱ”或“Ⅲ”）。</w:t>
      </w:r>
      <w:r>
        <w:rPr>
          <w:rFonts w:eastAsia="Times New Roman" w:cs="Times New Roman"/>
          <w:color w:val="000000"/>
        </w:rPr>
        <w:t xml:space="preserve">  </w:t>
      </w:r>
    </w:p>
    <w:p w:rsidR="00A03CE9" w14:paraId="489F4B7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238250" cy="7239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E9" w14:paraId="221E648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（4）突变型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叶片为黄色，由基因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的另一突变基因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所致。用突变型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与突变型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杂交，子代中黄色叶植株与绿色叶植株各占</w:t>
      </w:r>
      <w:r>
        <w:rPr>
          <w:rFonts w:eastAsia="Times New Roman" w:cs="Times New Roman"/>
          <w:color w:val="000000"/>
        </w:rPr>
        <w:t>50%</w:t>
      </w:r>
      <w:r>
        <w:rPr>
          <w:rFonts w:ascii="宋体" w:hAnsi="宋体"/>
          <w:color w:val="000000"/>
        </w:rPr>
        <w:t>。能否确定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是显性突变还是隐性突变</w:t>
      </w:r>
      <w:r>
        <w:rPr>
          <w:rFonts w:eastAsia="Times New Roman" w:cs="Times New Roman"/>
          <w:color w:val="000000"/>
        </w:rPr>
        <w:t>?</w:t>
      </w:r>
      <w:r>
        <w:rPr>
          <w:rFonts w:ascii="宋体" w:hAnsi="宋体"/>
          <w:color w:val="000000"/>
        </w:rPr>
        <w:t>______（填“能”或“否”），用文字说明理由_____________________________________。</w:t>
      </w:r>
    </w:p>
    <w:p w:rsidR="00A03CE9" w14:paraId="030267A8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入侵生物福寿螺适应能力强、种群繁殖速度快。为研究福寿螺与本土田螺的种间关系及福寿螺对水质的影响，开展了以下实验</w:t>
      </w:r>
      <w:r>
        <w:rPr>
          <w:rFonts w:eastAsia="Times New Roman" w:cs="Times New Roman"/>
          <w:color w:val="000000"/>
        </w:rPr>
        <w:t>:</w:t>
      </w:r>
    </w:p>
    <w:p w:rsidR="00A03CE9" w14:paraId="0E4F53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实验一</w:t>
      </w:r>
      <w:r>
        <w:rPr>
          <w:rFonts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在饲养盒中间放置多孔挡板，不允许螺通过，将两种螺分别置于挡板两侧饲养</w:t>
      </w:r>
      <w:r>
        <w:rPr>
          <w:rFonts w:eastAsia="Times New Roman" w:cs="Times New Roman"/>
          <w:color w:val="000000"/>
        </w:rPr>
        <w:t>;</w:t>
      </w:r>
      <w:r>
        <w:rPr>
          <w:rFonts w:ascii="宋体" w:hAnsi="宋体"/>
          <w:color w:val="000000"/>
        </w:rPr>
        <w:t>单独饲养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8750" cy="19050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对照组。结果如图所示。</w:t>
      </w:r>
    </w:p>
    <w:p w:rsidR="00A03CE9" w14:paraId="144CBDA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实验二</w:t>
      </w:r>
      <w:r>
        <w:rPr>
          <w:rFonts w:eastAsia="Times New Roman" w:cs="Times New Roman"/>
          <w:color w:val="000000"/>
        </w:rPr>
        <w:t>:</w:t>
      </w:r>
      <w:r>
        <w:rPr>
          <w:rFonts w:ascii="宋体" w:hAnsi="宋体"/>
          <w:color w:val="000000"/>
        </w:rPr>
        <w:t>在饲养盒中，以新鲜菜叶喂养福寿螺，每天清理菜叶残渣</w:t>
      </w:r>
      <w:r>
        <w:rPr>
          <w:rFonts w:eastAsia="Times New Roman" w:cs="Times New Roman"/>
          <w:color w:val="000000"/>
        </w:rPr>
        <w:t>;</w:t>
      </w:r>
      <w:r>
        <w:rPr>
          <w:rFonts w:ascii="宋体" w:hAnsi="宋体"/>
          <w:color w:val="000000"/>
        </w:rPr>
        <w:t>以清洁自来水为对照组。结果如表所示。</w:t>
      </w:r>
    </w:p>
    <w:p w:rsidR="00A03CE9" w14:paraId="5F1566E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657350" cy="1609725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989"/>
        <w:gridCol w:w="1408"/>
        <w:gridCol w:w="1557"/>
        <w:gridCol w:w="1542"/>
        <w:gridCol w:w="1303"/>
        <w:gridCol w:w="1348"/>
        <w:gridCol w:w="1303"/>
      </w:tblGrid>
      <w:tr w14:paraId="251D06E4" w14:textId="77777777">
        <w:tblPrEx>
          <w:tblW w:w="94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99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31A33B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养殖天数（</w:t>
            </w:r>
            <w:r>
              <w:rPr>
                <w:rFonts w:eastAsia="Times New Roman" w:cs="Times New Roman"/>
                <w:color w:val="000000"/>
              </w:rPr>
              <w:t>d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29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F3FC8DB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浑浊度（</w:t>
            </w:r>
            <w:r>
              <w:rPr>
                <w:rFonts w:eastAsia="Times New Roman" w:cs="Times New Roman"/>
                <w:color w:val="000000"/>
              </w:rPr>
              <w:t>FTU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28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D094251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总氮（</w:t>
            </w:r>
            <w:r>
              <w:rPr>
                <w:rFonts w:eastAsia="Times New Roman" w:cs="Times New Roman"/>
                <w:color w:val="000000"/>
              </w:rPr>
              <w:t>mg/L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26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741DF37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总磷（</w:t>
            </w:r>
            <w:r>
              <w:rPr>
                <w:rFonts w:eastAsia="Times New Roman" w:cs="Times New Roman"/>
                <w:color w:val="000000"/>
              </w:rPr>
              <w:t>mg/L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</w:tr>
      <w:tr w14:paraId="51B99AE1" w14:textId="77777777">
        <w:tblPrEx>
          <w:tblW w:w="94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03CE9" w14:paraId="659E1E5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DFF9ED6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27D7BC4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对照组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301EA24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实验组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B803C0B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对照组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18C7173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实验组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3E92191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对照组</w:t>
            </w:r>
          </w:p>
        </w:tc>
      </w:tr>
      <w:tr w14:paraId="6567B489" w14:textId="77777777">
        <w:tblPrEx>
          <w:tblW w:w="94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8779675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ED3F5D8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10.81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48B5C87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0.58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16960AA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14.72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2AE2763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7.73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E29BB56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0.44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20498D3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0.01</w:t>
            </w:r>
          </w:p>
        </w:tc>
      </w:tr>
      <w:tr w14:paraId="72918CBF" w14:textId="77777777">
        <w:tblPrEx>
          <w:tblW w:w="94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685DC76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8677BE6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15.54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5090902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0.31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6AB857E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33.16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1D2CFE9A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8.37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2302CE4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1.27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D370396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0.01</w:t>
            </w:r>
          </w:p>
        </w:tc>
      </w:tr>
      <w:tr w14:paraId="761CF209" w14:textId="77777777">
        <w:tblPrEx>
          <w:tblW w:w="94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54D173F2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0259EECC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23.12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F2AC074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1.04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62612C3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72.78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DAA8D8A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9.04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304EB02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2.38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EB87994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0.02</w:t>
            </w:r>
          </w:p>
        </w:tc>
      </w:tr>
      <w:tr w14:paraId="5581E8C4" w14:textId="77777777">
        <w:tblPrEx>
          <w:tblW w:w="94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4F7E4A37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AF1FF11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34.44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0D2F5E8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0.46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6830B11A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74.02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2F071AF9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9.35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3EA284D8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4.12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03CE9" w14:paraId="7BCF29C2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0.01</w:t>
            </w:r>
          </w:p>
        </w:tc>
      </w:tr>
    </w:tbl>
    <w:p w:rsidR="00A03CE9" w14:paraId="73CB999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注：水体浑浊度高表示其杂质含量高</w:t>
      </w:r>
    </w:p>
    <w:p w:rsidR="00A03CE9" w14:paraId="64D12A3F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回答下列问题</w:t>
      </w:r>
      <w:r>
        <w:rPr>
          <w:rFonts w:eastAsia="Times New Roman" w:cs="Times New Roman"/>
          <w:color w:val="000000"/>
        </w:rPr>
        <w:t>:</w:t>
      </w:r>
    </w:p>
    <w:p w:rsidR="00A03CE9" w14:paraId="474EA9C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（1）野外调查本土田螺的种群密度，通常采用的调查方法是_______________________。</w:t>
      </w:r>
    </w:p>
    <w:p w:rsidR="00A03CE9" w14:paraId="2FD4DB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（2）由实验一结果可知，两种螺的种间关系为________。</w:t>
      </w:r>
    </w:p>
    <w:p w:rsidR="00A03CE9" w14:paraId="13E4DA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（3）由实验二结果可知，福寿螺对水体的影响结果表现为_______________。</w:t>
      </w:r>
    </w:p>
    <w:p w:rsidR="00A03CE9" w14:paraId="4D9ED9E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（4）结合实验一和实验二的结果，下列分析正确的是_______（填序号）。</w:t>
      </w:r>
    </w:p>
    <w:p w:rsidR="00A03CE9" w14:paraId="621A73B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①福寿螺的入侵会降低本土物种丰富度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②福寿螺对富营养化水体耐受能力低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③福寿螺比本土田螺对环境的适应能力更强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④种群数量达到</w:t>
      </w:r>
      <w:r>
        <w:rPr>
          <w:rFonts w:eastAsia="Times New Roman" w:cs="Times New Roman"/>
          <w:color w:val="000000"/>
        </w:rPr>
        <w:t>K/2</w:t>
      </w:r>
      <w:r>
        <w:rPr>
          <w:rFonts w:ascii="宋体" w:hAnsi="宋体"/>
          <w:color w:val="000000"/>
        </w:rPr>
        <w:t>时，是防治福寿螺的最佳时期</w:t>
      </w:r>
    </w:p>
    <w:p w:rsidR="00A03CE9" w14:paraId="2BD63CE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（5）福寿螺入侵所带来的危害警示我们，引种时要注意________________________（答出两点即可）。</w:t>
      </w:r>
    </w:p>
    <w:p w:rsidR="00A03CE9" w14:paraId="54EB2257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</w:t>
      </w:r>
      <w:r>
        <w:rPr>
          <w:rFonts w:eastAsia="Times New Roman" w:cs="Times New Roman"/>
          <w:b/>
          <w:color w:val="000000"/>
          <w:sz w:val="24"/>
        </w:rPr>
        <w:t>:</w:t>
      </w:r>
      <w:r>
        <w:rPr>
          <w:rFonts w:ascii="宋体" w:hAnsi="宋体"/>
          <w:b/>
          <w:color w:val="000000"/>
          <w:sz w:val="24"/>
        </w:rPr>
        <w:t>请考生从给出的两道题中任选一题作答。如果多做，则按所做的第一题计分。</w:t>
      </w:r>
    </w:p>
    <w:p w:rsidR="00A03CE9" w14:paraId="5B9134D4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1:</w:t>
      </w:r>
      <w:r>
        <w:rPr>
          <w:rFonts w:ascii="宋体" w:hAnsi="宋体"/>
          <w:b/>
          <w:color w:val="000000"/>
          <w:sz w:val="24"/>
        </w:rPr>
        <w:t>生物技术实践</w:t>
      </w:r>
      <w:r>
        <w:rPr>
          <w:rFonts w:eastAsia="Times New Roman" w:cs="Times New Roman"/>
          <w:b/>
          <w:color w:val="000000"/>
          <w:sz w:val="24"/>
        </w:rPr>
        <w:t>]</w:t>
      </w:r>
    </w:p>
    <w:p w:rsidR="00A03CE9" w14:paraId="6CA47EF5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黄酒源于中国，与啤酒、葡萄酒并称世界三大发酵酒。发酵酒的酿造过程中除了产生乙醇外，也产生不利于人体健康的氨基甲酸乙酯（</w:t>
      </w:r>
      <w:r>
        <w:rPr>
          <w:rFonts w:eastAsia="Times New Roman" w:cs="Times New Roman"/>
          <w:color w:val="000000"/>
        </w:rPr>
        <w:t>EC</w:t>
      </w:r>
      <w:r>
        <w:rPr>
          <w:rFonts w:ascii="宋体" w:hAnsi="宋体"/>
          <w:color w:val="000000"/>
        </w:rPr>
        <w:t>）。</w:t>
      </w:r>
      <w:r>
        <w:rPr>
          <w:rFonts w:eastAsia="Times New Roman" w:cs="Times New Roman"/>
          <w:color w:val="000000"/>
        </w:rPr>
        <w:t>EC</w:t>
      </w:r>
      <w:r>
        <w:rPr>
          <w:rFonts w:ascii="宋体" w:hAnsi="宋体"/>
          <w:color w:val="000000"/>
        </w:rPr>
        <w:t>主要由尿素与乙醇反应形成，各国对酒中的</w:t>
      </w:r>
      <w:r>
        <w:rPr>
          <w:rFonts w:eastAsia="Times New Roman" w:cs="Times New Roman"/>
          <w:color w:val="000000"/>
        </w:rPr>
        <w:t>EC</w:t>
      </w:r>
      <w:r>
        <w:rPr>
          <w:rFonts w:ascii="宋体" w:hAnsi="宋体"/>
          <w:color w:val="000000"/>
        </w:rPr>
        <w:t>含量有严格的限量标准。回答下列问题</w:t>
      </w:r>
      <w:r>
        <w:rPr>
          <w:rFonts w:eastAsia="Times New Roman" w:cs="Times New Roman"/>
          <w:color w:val="000000"/>
        </w:rPr>
        <w:t>:</w:t>
      </w:r>
    </w:p>
    <w:p w:rsidR="00A03CE9" w14:paraId="7DA763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（1）某黄酒酿制工艺流程如图所示，图中加入的菌种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是_______，工艺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是_______（填“消毒”或“灭菌”），采用工艺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的目的是____________________。</w:t>
      </w:r>
    </w:p>
    <w:p w:rsidR="00A03CE9" w14:paraId="19B277A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133725" cy="6858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E9" w14:paraId="6EA5572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以尿素为唯一氮源的培养基中加入________指示剂，根据颜色变化，可以初步鉴定分解尿素的细菌。尿素分解菌产生的脲酶可用于降解黄酒中的尿素，脲酶固定化后稳定性和利用效率提高，固定化方法有_________________________（答出两种即可）。</w:t>
      </w:r>
    </w:p>
    <w:p w:rsidR="00A03CE9" w14:paraId="580D34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（3）研究人员利用脲酶基因构建基因工程菌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，在不同条件下分批发酵生产脲酶，结果如图所示。推测________是决定工程菌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高脲酶活力的关键因素，理由是__________________。</w:t>
      </w:r>
    </w:p>
    <w:p w:rsidR="00A03CE9" w14:paraId="0DB5611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943475" cy="1362075"/>
            <wp:effectExtent l="0" t="0" r="0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E9" w14:paraId="0259764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（4）某公司开发了一种新的黄酒产品，发现</w:t>
      </w:r>
      <w:r>
        <w:rPr>
          <w:rFonts w:eastAsia="Times New Roman" w:cs="Times New Roman"/>
          <w:color w:val="000000"/>
        </w:rPr>
        <w:t>EC</w:t>
      </w:r>
      <w:r>
        <w:rPr>
          <w:rFonts w:ascii="宋体" w:hAnsi="宋体"/>
          <w:color w:val="000000"/>
        </w:rPr>
        <w:t>含量超标。简要写出利用微生物降低该黄酒中</w:t>
      </w:r>
      <w:r>
        <w:rPr>
          <w:rFonts w:eastAsia="Times New Roman" w:cs="Times New Roman"/>
          <w:color w:val="000000"/>
        </w:rPr>
        <w:t>EC</w:t>
      </w:r>
      <w:r>
        <w:rPr>
          <w:rFonts w:ascii="宋体" w:hAnsi="宋体"/>
          <w:color w:val="000000"/>
        </w:rPr>
        <w:t>含量的思路_____________________________。</w:t>
      </w:r>
    </w:p>
    <w:p w:rsidR="00A03CE9" w14:paraId="3D1B8F55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3:</w:t>
      </w:r>
      <w:r>
        <w:rPr>
          <w:rFonts w:ascii="宋体" w:hAnsi="宋体"/>
          <w:b/>
          <w:color w:val="000000"/>
          <w:sz w:val="24"/>
        </w:rPr>
        <w:t>现代生物科技专题</w:t>
      </w:r>
      <w:r>
        <w:rPr>
          <w:rFonts w:eastAsia="Times New Roman" w:cs="Times New Roman"/>
          <w:b/>
          <w:color w:val="000000"/>
          <w:sz w:val="24"/>
        </w:rPr>
        <w:t>]</w:t>
      </w:r>
    </w:p>
    <w:p w:rsidR="00A03CE9" w14:paraId="65568E4A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水蛭是我国的传统中药材，主要药理成分水蛭素为水蛭蛋白中重要成分之一，具有良好的抗凝血作用。拟通过蛋白质工程改造水蛭素结构，提高其抗凝血活性。回答下列问题</w:t>
      </w:r>
      <w:r>
        <w:rPr>
          <w:rFonts w:eastAsia="Times New Roman" w:cs="Times New Roman"/>
          <w:color w:val="000000"/>
        </w:rPr>
        <w:t>:</w:t>
      </w:r>
    </w:p>
    <w:p w:rsidR="00A03CE9" w14:paraId="449D98A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（1）蛋白质工程流程如图所示，物质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是_______，物质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是_______。在生产过程中，物质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可能不同，合成的蛋白质空间构象却相同，原因是_______________________。</w:t>
      </w:r>
    </w:p>
    <w:p w:rsidR="00A03CE9" w14:paraId="6CF539F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886325" cy="5238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E9" w14:paraId="16BDC50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（2）蛋白质工程是基因工程的延伸，基因工程中获取目的基因的常用方法有___________、__________和利用</w:t>
      </w:r>
      <w:r>
        <w:rPr>
          <w:rFonts w:eastAsia="Times New Roman" w:cs="Times New Roman"/>
          <w:color w:val="000000"/>
        </w:rPr>
        <w:t xml:space="preserve"> PCR </w:t>
      </w:r>
      <w:r>
        <w:rPr>
          <w:rFonts w:ascii="宋体" w:hAnsi="宋体"/>
          <w:color w:val="000000"/>
        </w:rPr>
        <w:t>技术扩增。</w:t>
      </w:r>
      <w:r>
        <w:rPr>
          <w:rFonts w:eastAsia="Times New Roman" w:cs="Times New Roman"/>
          <w:color w:val="000000"/>
        </w:rPr>
        <w:t xml:space="preserve">PCR </w:t>
      </w:r>
      <w:r>
        <w:rPr>
          <w:rFonts w:ascii="宋体" w:hAnsi="宋体"/>
          <w:color w:val="000000"/>
        </w:rPr>
        <w:t>技术遵循的基本原理是____________________。</w:t>
      </w:r>
    </w:p>
    <w:p w:rsidR="00A03CE9" w14:paraId="093B45A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将提取的水蛭蛋白经甲、乙两种蛋白酶水解后，分析水解产物中的肽含量及其抗凝血活性，结果如图所示。推测两种处理后酶解产物的抗凝血活性差异主要与肽的______（填“种类”或“含量”）有关，导致其活性不同的原因是______________________________。</w:t>
      </w:r>
    </w:p>
    <w:p w:rsidR="00A03CE9" w14:paraId="41ECCBE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219575" cy="1152525"/>
            <wp:effectExtent l="0" t="0" r="0" b="0"/>
            <wp:docPr id="100024" name="图片 10002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E9" w14:paraId="345800EA" w14:textId="12EB83B2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  <w:sectPr w:rsidSect="00C321EB">
          <w:footerReference w:type="default" r:id="rId31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（4）若要比较蛋白质工程改造后的水蛭素、上述水蛭蛋白酶解产物和天然水蛭素的抗凝血活性差异，简要写出实验设计思路________________________________________</w:t>
      </w:r>
    </w:p>
    <w:p w:rsidR="00A03CE9" w14:paraId="2F27E53B" w14:textId="6046B06F"/>
    <w:sectPr>
      <w:footerReference w:type="default" r:id="rId32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8337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D4095"/>
    <w:rsid w:val="007D6FAC"/>
    <w:rsid w:val="0080716B"/>
    <w:rsid w:val="00817391"/>
    <w:rsid w:val="00832EC9"/>
    <w:rsid w:val="008634CD"/>
    <w:rsid w:val="008731FA"/>
    <w:rsid w:val="00880A38"/>
    <w:rsid w:val="00893DD6"/>
    <w:rsid w:val="008D2E94"/>
    <w:rsid w:val="00916DA4"/>
    <w:rsid w:val="00974E0F"/>
    <w:rsid w:val="00982128"/>
    <w:rsid w:val="009A27BF"/>
    <w:rsid w:val="009B5666"/>
    <w:rsid w:val="009C4252"/>
    <w:rsid w:val="009E203F"/>
    <w:rsid w:val="00A03CE9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0164FB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wmf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footer" Target="footer1.xml" /><Relationship Id="rId32" Type="http://schemas.openxmlformats.org/officeDocument/2006/relationships/footer" Target="footer2.xml" /><Relationship Id="rId33" Type="http://schemas.openxmlformats.org/officeDocument/2006/relationships/theme" Target="theme/theme1.xml" /><Relationship Id="rId34" Type="http://schemas.openxmlformats.org/officeDocument/2006/relationships/numbering" Target="numbering.xml" /><Relationship Id="rId35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image" Target="media/image4.wmf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