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1.0 -->
  <w:body>
    <w:p w:rsidR="00FC5860" w:rsidRPr="00BE1BCD" w14:paraId="51B51F8D" w14:textId="3B741CB6">
      <w:pPr>
        <w:spacing w:line="285" w:lineRule="auto"/>
        <w:jc w:val="center"/>
      </w:pPr>
      <w:r>
        <w:rPr>
          <w:rFonts w:eastAsia="Times New Roman" w:cs="Times New Roman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10731500</wp:posOffset>
            </wp:positionH>
            <wp:positionV relativeFrom="topMargin">
              <wp:posOffset>10452100</wp:posOffset>
            </wp:positionV>
            <wp:extent cx="495300" cy="355600"/>
            <wp:effectExtent l="0" t="0" r="0" b="0"/>
            <wp:wrapNone/>
            <wp:docPr id="100038" name="图片 100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t>2022</w:t>
      </w:r>
      <w:r>
        <w:rPr>
          <w:rFonts w:ascii="宋体" w:hAnsi="宋体"/>
          <w:b/>
          <w:sz w:val="32"/>
        </w:rPr>
        <w:t>年重庆市普通高等学校全国统一招生选择性考试</w:t>
      </w:r>
    </w:p>
    <w:p w:rsidR="00FC5860" w:rsidRPr="00BE1BCD" w14:paraId="2C8839DE" w14:textId="77777777">
      <w:pPr>
        <w:spacing w:line="285" w:lineRule="auto"/>
        <w:jc w:val="center"/>
      </w:pPr>
      <w:r>
        <w:rPr>
          <w:rFonts w:ascii="宋体" w:hAnsi="宋体"/>
          <w:b/>
          <w:sz w:val="32"/>
        </w:rPr>
        <w:t>生物试卷</w:t>
      </w:r>
    </w:p>
    <w:p w:rsidR="00FC5860" w:rsidRPr="00BE1BCD" w14:paraId="0120C4BB" w14:textId="77777777">
      <w:pPr>
        <w:spacing w:line="285" w:lineRule="auto"/>
      </w:pPr>
      <w:r>
        <w:rPr>
          <w:rFonts w:ascii="宋体" w:hAnsi="宋体"/>
          <w:b/>
          <w:sz w:val="24"/>
        </w:rPr>
        <w:t>一、单项选择题：</w:t>
      </w:r>
      <w:r>
        <w:rPr>
          <w:rFonts w:eastAsia="Times New Roman" w:cs="Times New Roman"/>
          <w:b/>
          <w:sz w:val="24"/>
        </w:rPr>
        <w:t xml:space="preserve"> </w:t>
      </w:r>
    </w:p>
    <w:p w:rsidR="00FC5860" w:rsidRPr="00BE1BCD" w14:paraId="6127ED8F" w14:textId="77777777">
      <w:pPr>
        <w:spacing w:line="360" w:lineRule="auto"/>
      </w:pPr>
      <w:r>
        <w:t xml:space="preserve">1. </w:t>
      </w:r>
      <w:r>
        <w:rPr>
          <w:rFonts w:ascii="宋体" w:hAnsi="宋体"/>
        </w:rPr>
        <w:t>以蚕豆根尖为实验材料，在光学显微镜下不能观察到的是（</w:t>
      </w:r>
      <w:r>
        <w:rPr>
          <w:rFonts w:eastAsia="Times New Roman" w:cs="Times New Roman"/>
        </w:rPr>
        <w:t xml:space="preserve">    </w:t>
      </w:r>
      <w:r>
        <w:rPr>
          <w:rFonts w:ascii="宋体" w:hAnsi="宋体"/>
        </w:rPr>
        <w:t>）</w:t>
      </w:r>
    </w:p>
    <w:p w:rsidR="00C5112A" w14:paraId="53D1668F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>
        <w:t xml:space="preserve">A. </w:t>
      </w:r>
      <w:r w:rsidR="000A7EB2">
        <w:rPr>
          <w:rFonts w:ascii="宋体" w:hAnsi="宋体"/>
        </w:rPr>
        <w:t>中心体</w:t>
      </w:r>
      <w:r w:rsidRPr="00BE1BCD">
        <w:tab/>
        <w:t xml:space="preserve">B. </w:t>
      </w:r>
      <w:r w:rsidR="000A7EB2">
        <w:rPr>
          <w:rFonts w:ascii="宋体" w:hAnsi="宋体"/>
        </w:rPr>
        <w:t>染色体</w:t>
      </w:r>
      <w:r w:rsidRPr="00BE1BCD">
        <w:tab/>
        <w:t xml:space="preserve">C. </w:t>
      </w:r>
      <w:r w:rsidR="000A7EB2">
        <w:rPr>
          <w:rFonts w:ascii="宋体" w:hAnsi="宋体"/>
        </w:rPr>
        <w:t>细胞核</w:t>
      </w:r>
      <w:r w:rsidRPr="00BE1BCD">
        <w:tab/>
        <w:t xml:space="preserve">D. </w:t>
      </w:r>
      <w:r w:rsidR="000A7EB2">
        <w:rPr>
          <w:rFonts w:ascii="宋体" w:hAnsi="宋体"/>
        </w:rPr>
        <w:t>细胞壁</w:t>
      </w:r>
    </w:p>
    <w:p w:rsidR="00C5112A" w14:paraId="23585890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如图为小肠上皮细胞吸收和释放铜离子的过程。下列关于该过程中铜离子的叙述，错误的是（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C5112A" w14:paraId="0F4A5346" w14:textId="7777777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867025" cy="2486025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12A" w14:paraId="3169586E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进入细胞需要能量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转运具有方向性</w:t>
      </w:r>
    </w:p>
    <w:p w:rsidR="00C5112A" w14:paraId="3172500D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进出细胞的方式相同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运输需要不同的载体</w:t>
      </w:r>
    </w:p>
    <w:p w:rsidR="00C5112A" w14:paraId="0975BF45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将人胰岛素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链上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个天冬氨酸替换为甘氨酸，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链末端增加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个精氨酸，可制备出一种人工长效胰岛素。下列关于该胰岛素的叙述，错误的是（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C5112A" w14:paraId="0537648E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进入人体后需经高尔基体加工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比人胰岛素多了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个肽键</w:t>
      </w:r>
    </w:p>
    <w:p w:rsidR="00C5112A" w14:paraId="39194EB0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与人胰岛素有相同的靶细胞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可通过基因工程方法生产</w:t>
      </w:r>
    </w:p>
    <w:p w:rsidR="00C5112A" w14:paraId="1AEC8B22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下列发现中，以</w:t>
      </w:r>
      <w:r>
        <w:rPr>
          <w:rFonts w:eastAsia="Times New Roman" w:cs="Times New Roman"/>
          <w:color w:val="000000"/>
        </w:rPr>
        <w:t>DNA</w:t>
      </w:r>
      <w:r>
        <w:rPr>
          <w:rFonts w:ascii="宋体" w:hAnsi="宋体"/>
          <w:color w:val="000000"/>
        </w:rPr>
        <w:t>双螺旋结构模型为理论基础的是（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C5112A" w14:paraId="7FA25EFB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遗传因子控制性状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基因在染色体上</w:t>
      </w:r>
    </w:p>
    <w:p w:rsidR="00C5112A" w14:paraId="1322B5E7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eastAsia="Times New Roman" w:cs="Times New Roman"/>
          <w:color w:val="000000"/>
        </w:rPr>
        <w:t>DNA</w:t>
      </w:r>
      <w:r>
        <w:rPr>
          <w:rFonts w:ascii="宋体" w:hAnsi="宋体"/>
          <w:color w:val="000000"/>
        </w:rPr>
        <w:t>是遗传物质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DNA</w:t>
      </w:r>
      <w:r>
        <w:rPr>
          <w:rFonts w:ascii="宋体" w:hAnsi="宋体"/>
          <w:color w:val="000000"/>
        </w:rPr>
        <w:t>半保留复制</w:t>
      </w:r>
    </w:p>
    <w:p w:rsidR="00C5112A" w14:paraId="35A915FE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合理均衡的膳食对维持人体正常生理活动有重要意义。据下表分析，叙述错误的是（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2025"/>
        <w:gridCol w:w="1267"/>
        <w:gridCol w:w="1395"/>
        <w:gridCol w:w="1185"/>
        <w:gridCol w:w="1185"/>
      </w:tblGrid>
      <w:tr w14:paraId="4E32B10A" w14:textId="7777777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43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32BD7828" w14:textId="77777777">
            <w:pPr>
              <w:spacing w:line="360" w:lineRule="auto"/>
              <w:ind w:firstLine="1365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项目</w:t>
            </w:r>
          </w:p>
          <w:p w:rsidR="00C5112A" w14:paraId="29B769EE" w14:textId="77777777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食物（</w:t>
            </w:r>
            <w:r>
              <w:rPr>
                <w:rFonts w:eastAsia="Times New Roman" w:cs="Times New Roman"/>
                <w:color w:val="000000"/>
              </w:rPr>
              <w:t>100g</w:t>
            </w:r>
            <w:r>
              <w:rPr>
                <w:rFonts w:ascii="宋体" w:hAnsi="宋体"/>
                <w:color w:val="000000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7C67894D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能量（</w:t>
            </w:r>
            <w:r>
              <w:rPr>
                <w:rFonts w:eastAsia="Times New Roman" w:cs="Times New Roman"/>
                <w:color w:val="000000"/>
              </w:rPr>
              <w:t>kJ</w:t>
            </w:r>
            <w:r>
              <w:rPr>
                <w:rFonts w:ascii="宋体" w:hAnsi="宋体"/>
                <w:color w:val="000000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2B0B57DE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蛋白质（</w:t>
            </w:r>
            <w:r>
              <w:rPr>
                <w:rFonts w:eastAsia="Times New Roman" w:cs="Times New Roman"/>
                <w:color w:val="000000"/>
              </w:rPr>
              <w:t>g</w:t>
            </w:r>
            <w:r>
              <w:rPr>
                <w:rFonts w:ascii="宋体" w:hAnsi="宋体"/>
                <w:color w:val="000000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6D36B417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脂肪（</w:t>
            </w:r>
            <w:r>
              <w:rPr>
                <w:rFonts w:eastAsia="Times New Roman" w:cs="Times New Roman"/>
                <w:color w:val="000000"/>
              </w:rPr>
              <w:t>g</w:t>
            </w:r>
            <w:r>
              <w:rPr>
                <w:rFonts w:ascii="宋体" w:hAnsi="宋体"/>
                <w:color w:val="000000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66A7CB64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糖类（</w:t>
            </w:r>
            <w:r>
              <w:rPr>
                <w:rFonts w:eastAsia="Times New Roman" w:cs="Times New Roman"/>
                <w:color w:val="000000"/>
              </w:rPr>
              <w:t>g</w:t>
            </w:r>
            <w:r>
              <w:rPr>
                <w:rFonts w:ascii="宋体" w:hAnsi="宋体"/>
                <w:color w:val="000000"/>
              </w:rPr>
              <w:t>）</w:t>
            </w:r>
          </w:p>
        </w:tc>
      </w:tr>
      <w:tr w14:paraId="0574C2E8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09BEB430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741349F6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880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230948DF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363D5912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6A8EDB02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44.2</w:t>
            </w:r>
          </w:p>
        </w:tc>
      </w:tr>
      <w:tr w14:paraId="7FCD7F19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6B65F653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41A7C942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1580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5CE0D399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13.2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382280A1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1EAD777B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2.4</w:t>
            </w:r>
          </w:p>
        </w:tc>
      </w:tr>
      <w:tr w14:paraId="67384E96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6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0991E4FC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3D0A579C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700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50CFE120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29.3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51FC6037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5A0404C8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1.2</w:t>
            </w:r>
          </w:p>
        </w:tc>
      </w:tr>
    </w:tbl>
    <w:p w:rsidR="00C5112A" w14:paraId="762BB9D7" w14:textId="77777777">
      <w:pPr>
        <w:spacing w:line="360" w:lineRule="auto"/>
        <w:textAlignment w:val="center"/>
        <w:rPr>
          <w:color w:val="000000"/>
        </w:rPr>
      </w:pPr>
    </w:p>
    <w:p w:rsidR="00C5112A" w14:paraId="068555C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含主要能源物质最多的是②</w:t>
      </w:r>
    </w:p>
    <w:p w:rsidR="00C5112A" w14:paraId="4438AA0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需控制体重的人应减少摄入①和②</w:t>
      </w:r>
    </w:p>
    <w:p w:rsidR="00C5112A" w14:paraId="4CE0B11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青少年应均衡摄入①、②和③</w:t>
      </w:r>
    </w:p>
    <w:p w:rsidR="00C5112A" w14:paraId="62F7205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蛋白质、脂肪和糖类都可供能</w:t>
      </w:r>
    </w:p>
    <w:p w:rsidR="00C5112A" w14:paraId="3DA17B88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某化合物可使淋巴细胞分化为吞噬细胞。实验小组研究了该化合物对淋巴细胞的影响，结果见如表。下列关于实验组的叙述，正确的是（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870"/>
        <w:gridCol w:w="2760"/>
        <w:gridCol w:w="2890"/>
        <w:gridCol w:w="1500"/>
      </w:tblGrid>
      <w:tr w14:paraId="7794B4C4" w14:textId="7777777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770CF1E3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分组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46A8775E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细胞特征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47F82C30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核</w:t>
            </w:r>
            <w:r>
              <w:rPr>
                <w:rFonts w:eastAsia="Times New Roman" w:cs="Times New Roman"/>
                <w:color w:val="000000"/>
              </w:rPr>
              <w:t>DNA</w:t>
            </w:r>
            <w:r>
              <w:rPr>
                <w:rFonts w:ascii="宋体" w:hAnsi="宋体"/>
                <w:color w:val="000000"/>
              </w:rPr>
              <w:t>含量增加的细胞比例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16C3FB84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吞噬细菌效率</w:t>
            </w:r>
          </w:p>
        </w:tc>
      </w:tr>
      <w:tr w14:paraId="0B0A95EF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1EE7BDCA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对照组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3B68A827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均呈球形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3907BBBB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59.20%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78B9CD6C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4.61%</w:t>
            </w:r>
          </w:p>
        </w:tc>
      </w:tr>
      <w:tr w14:paraId="7B6196CC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3026A24E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实验组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552D51D1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部分呈扁平状，溶酶体增多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46A8A3B4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9.57%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4E9D15FE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18.64%</w:t>
            </w:r>
          </w:p>
        </w:tc>
      </w:tr>
    </w:tbl>
    <w:p w:rsidR="00C5112A" w14:paraId="69E31508" w14:textId="77777777">
      <w:pPr>
        <w:spacing w:line="360" w:lineRule="auto"/>
        <w:textAlignment w:val="center"/>
        <w:rPr>
          <w:color w:val="000000"/>
        </w:rPr>
      </w:pPr>
    </w:p>
    <w:p w:rsidR="00C5112A" w14:paraId="47AAB6B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细胞的形态变化是遗传物质改变引起的</w:t>
      </w:r>
    </w:p>
    <w:p w:rsidR="00C5112A" w14:paraId="7B313A8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有</w:t>
      </w:r>
      <w:r>
        <w:rPr>
          <w:rFonts w:eastAsia="Times New Roman" w:cs="Times New Roman"/>
          <w:color w:val="000000"/>
        </w:rPr>
        <w:t>9.57%</w:t>
      </w:r>
      <w:r>
        <w:rPr>
          <w:rFonts w:ascii="宋体" w:hAnsi="宋体"/>
          <w:color w:val="000000"/>
        </w:rPr>
        <w:t>的细胞处于细胞分裂期</w:t>
      </w:r>
    </w:p>
    <w:p w:rsidR="00C5112A" w14:paraId="2A9F9DB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吞噬细菌效率的提高与溶酶体增多有关</w:t>
      </w:r>
    </w:p>
    <w:p w:rsidR="00C5112A" w14:paraId="487270B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去除该化合物后扁平状细胞会恢复成球形</w:t>
      </w:r>
    </w:p>
    <w:p w:rsidR="00C5112A" w14:paraId="695BD4C8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植物蛋白酶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L</w:t>
      </w:r>
      <w:r>
        <w:rPr>
          <w:rFonts w:ascii="宋体" w:hAnsi="宋体"/>
          <w:color w:val="000000"/>
        </w:rPr>
        <w:t>能使肉类蛋白质部分水解，可用于制作肉类嫩化剂。某实验小组测定并计算了两种酶在</w:t>
      </w:r>
      <w:r>
        <w:rPr>
          <w:rFonts w:eastAsia="Times New Roman" w:cs="Times New Roman"/>
          <w:color w:val="000000"/>
        </w:rPr>
        <w:t>37</w:t>
      </w:r>
      <w:r>
        <w:rPr>
          <w:rFonts w:ascii="宋体" w:hAnsi="宋体"/>
          <w:color w:val="000000"/>
        </w:rPr>
        <w:t>℃、不同</w:t>
      </w:r>
      <w:r>
        <w:rPr>
          <w:rFonts w:eastAsia="Times New Roman" w:cs="Times New Roman"/>
          <w:color w:val="000000"/>
        </w:rPr>
        <w:t>pH</w:t>
      </w:r>
      <w:r>
        <w:rPr>
          <w:rFonts w:ascii="宋体" w:hAnsi="宋体"/>
          <w:color w:val="000000"/>
        </w:rPr>
        <w:t>下的相对活性，结果见如表。下列叙述最合理的是（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589"/>
        <w:gridCol w:w="503"/>
        <w:gridCol w:w="503"/>
        <w:gridCol w:w="503"/>
        <w:gridCol w:w="503"/>
        <w:gridCol w:w="503"/>
      </w:tblGrid>
      <w:tr w14:paraId="161B123A" w14:textId="7777777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02FED97F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pH</w:t>
            </w:r>
            <w:r>
              <w:rPr>
                <w:rFonts w:ascii="宋体" w:hAnsi="宋体"/>
                <w:color w:val="000000"/>
              </w:rPr>
              <w:t>酶相对活性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05EA92A4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13084538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3F54432F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1EA24877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52C2CC0E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11</w:t>
            </w:r>
          </w:p>
        </w:tc>
      </w:tr>
      <w:tr w14:paraId="55F5428A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2796E615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63057125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62D27726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3F31DD6C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7708524C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154A1430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0.6</w:t>
            </w:r>
          </w:p>
        </w:tc>
      </w:tr>
      <w:tr w14:paraId="449DC261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3D067E73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3D2DE535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24BEFD85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4E1093EF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6D080FA3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</w:t>
            </w:r>
            <w:r>
              <w:rPr>
                <w:rFonts w:eastAsia="Times New Roman" w:cs="Times New Roman"/>
                <w:noProof/>
                <w:color w:val="000000"/>
                <w:position w:val="-22"/>
              </w:rPr>
              <w:drawing>
                <wp:inline distT="0" distB="0" distL="0" distR="0">
                  <wp:extent cx="31750" cy="88900"/>
                  <wp:effectExtent l="0" t="0" r="0" b="0"/>
                  <wp:docPr id="100053" name="图片 1000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694CDBEB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0.1</w:t>
            </w:r>
          </w:p>
        </w:tc>
      </w:tr>
    </w:tbl>
    <w:p w:rsidR="00C5112A" w14:paraId="7336CE50" w14:textId="77777777">
      <w:pPr>
        <w:spacing w:line="360" w:lineRule="auto"/>
        <w:textAlignment w:val="center"/>
        <w:rPr>
          <w:color w:val="000000"/>
        </w:rPr>
      </w:pPr>
    </w:p>
    <w:p w:rsidR="00C5112A" w14:paraId="1895D36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color w:val="000000"/>
        </w:rPr>
        <w:t>37</w:t>
      </w:r>
      <w:r>
        <w:rPr>
          <w:rFonts w:ascii="宋体" w:hAnsi="宋体"/>
          <w:color w:val="000000"/>
        </w:rPr>
        <w:t>℃时，两种酶的最适</w:t>
      </w:r>
      <w:r>
        <w:rPr>
          <w:rFonts w:eastAsia="Times New Roman" w:cs="Times New Roman"/>
          <w:color w:val="000000"/>
        </w:rPr>
        <w:t>pH</w:t>
      </w:r>
      <w:r>
        <w:rPr>
          <w:rFonts w:ascii="宋体" w:hAnsi="宋体"/>
          <w:color w:val="000000"/>
        </w:rPr>
        <w:t>均为</w:t>
      </w:r>
      <w:r>
        <w:rPr>
          <w:rFonts w:eastAsia="Times New Roman" w:cs="Times New Roman"/>
          <w:color w:val="000000"/>
        </w:rPr>
        <w:t>3</w:t>
      </w:r>
    </w:p>
    <w:p w:rsidR="00C5112A" w14:paraId="46DC693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color w:val="000000"/>
        </w:rPr>
        <w:t>37</w:t>
      </w:r>
      <w:r>
        <w:rPr>
          <w:rFonts w:ascii="宋体" w:hAnsi="宋体"/>
          <w:color w:val="000000"/>
        </w:rPr>
        <w:t>℃长时间放置后，两种酶的活性不变</w:t>
      </w:r>
    </w:p>
    <w:p w:rsidR="00C5112A" w14:paraId="10BC54E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从</w:t>
      </w:r>
      <w:r>
        <w:rPr>
          <w:rFonts w:eastAsia="Times New Roman" w:cs="Times New Roman"/>
          <w:color w:val="000000"/>
        </w:rPr>
        <w:t>37</w:t>
      </w:r>
      <w:r>
        <w:rPr>
          <w:rFonts w:ascii="宋体" w:hAnsi="宋体"/>
          <w:color w:val="000000"/>
        </w:rPr>
        <w:t>℃上升至</w:t>
      </w:r>
      <w:r>
        <w:rPr>
          <w:rFonts w:eastAsia="Times New Roman" w:cs="Times New Roman"/>
          <w:color w:val="000000"/>
        </w:rPr>
        <w:t>95</w:t>
      </w:r>
      <w:r>
        <w:rPr>
          <w:rFonts w:ascii="宋体" w:hAnsi="宋体"/>
          <w:color w:val="000000"/>
        </w:rPr>
        <w:t>℃，两种酶在</w:t>
      </w:r>
      <w:r>
        <w:rPr>
          <w:rFonts w:eastAsia="Times New Roman" w:cs="Times New Roman"/>
          <w:color w:val="000000"/>
        </w:rPr>
        <w:t>pH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58750" cy="190500"/>
            <wp:effectExtent l="0" t="0" r="0" b="0"/>
            <wp:docPr id="100047" name="图片 100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时仍有较高活性</w:t>
      </w:r>
    </w:p>
    <w:p w:rsidR="00C5112A" w14:paraId="2412863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color w:val="000000"/>
        </w:rPr>
        <w:t>37</w:t>
      </w:r>
      <w:r>
        <w:rPr>
          <w:rFonts w:ascii="宋体" w:hAnsi="宋体"/>
          <w:color w:val="000000"/>
        </w:rPr>
        <w:t>℃、</w:t>
      </w:r>
      <w:r>
        <w:rPr>
          <w:rFonts w:eastAsia="Times New Roman" w:cs="Times New Roman"/>
          <w:color w:val="000000"/>
        </w:rPr>
        <w:t>pH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58750" cy="190500"/>
            <wp:effectExtent l="0" t="0" r="0" b="0"/>
            <wp:docPr id="100049" name="图片 100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>3~11</w:t>
      </w:r>
      <w:r>
        <w:rPr>
          <w:rFonts w:ascii="宋体" w:hAnsi="宋体"/>
          <w:color w:val="000000"/>
        </w:rPr>
        <w:t>时，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更适于制作肉类嫩化剂</w:t>
      </w:r>
    </w:p>
    <w:p w:rsidR="00C5112A" w14:paraId="75B42427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如图为两种细胞代谢过程的示意图。转运到神经元的乳酸过多会导致其损伤。下列叙述错误的是（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C5112A" w14:paraId="1ADBD824" w14:textId="7777777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3295650" cy="2028825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12A" w14:paraId="7EFFAD2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抑制</w:t>
      </w:r>
      <w:r>
        <w:rPr>
          <w:rFonts w:eastAsia="Times New Roman" w:cs="Times New Roman"/>
          <w:color w:val="000000"/>
        </w:rPr>
        <w:t>MCT</w:t>
      </w:r>
      <w:r>
        <w:rPr>
          <w:rFonts w:ascii="宋体" w:hAnsi="宋体"/>
          <w:color w:val="000000"/>
        </w:rPr>
        <w:t>可降低神经元损伤</w:t>
      </w:r>
    </w:p>
    <w:p w:rsidR="00C5112A" w14:paraId="31A377D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eastAsia="Times New Roman" w:cs="Times New Roman"/>
          <w:color w:val="000000"/>
        </w:rPr>
        <w:t>Rheb</w:t>
      </w:r>
      <w:r>
        <w:rPr>
          <w:rFonts w:ascii="宋体" w:hAnsi="宋体"/>
          <w:color w:val="000000"/>
        </w:rPr>
        <w:t>蛋白失活可降低神经元损伤</w:t>
      </w:r>
    </w:p>
    <w:p w:rsidR="00C5112A" w14:paraId="6739E49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乳酸可作为神经元的能源物质</w:t>
      </w:r>
    </w:p>
    <w:p w:rsidR="00C5112A" w14:paraId="3303ABD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自由基累积可破坏细胞内的生物分子</w:t>
      </w:r>
    </w:p>
    <w:p w:rsidR="00C5112A" w14:paraId="2EE3D396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双酚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是一种干扰内分泌的环境激素，进入机体后能通过与雌激素相同的方式影响机体功能。下列关于双酚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的叙述，正确的是（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C5112A" w14:paraId="7538E6B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通过体液运输发挥作用</w:t>
      </w:r>
    </w:p>
    <w:p w:rsidR="00C5112A" w14:paraId="22F8411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进入机体后会引起雌激素的分泌增加</w:t>
      </w:r>
    </w:p>
    <w:p w:rsidR="00C5112A" w14:paraId="28E6E3C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不能与雌激素受体结合</w:t>
      </w:r>
    </w:p>
    <w:p w:rsidR="00C5112A" w14:paraId="3CBC445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在体内大量积累后才会改变生理活动</w:t>
      </w:r>
    </w:p>
    <w:p w:rsidR="00C5112A" w14:paraId="1D97C183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某同学登山后出现腿部肌肉酸痛，一段时间后缓解。查阅资料得知，肌细胞生成的乳酸可在肝脏转化为葡萄糖被细胞再利用。下列叙述正确的是（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C5112A" w14:paraId="61E77FA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酸痛是因为乳酸积累导致血浆</w:t>
      </w:r>
      <w:r>
        <w:rPr>
          <w:rFonts w:eastAsia="Times New Roman" w:cs="Times New Roman"/>
          <w:color w:val="000000"/>
        </w:rPr>
        <w:t>pH</w:t>
      </w:r>
      <w:r>
        <w:rPr>
          <w:rFonts w:ascii="宋体" w:hAnsi="宋体"/>
          <w:color w:val="000000"/>
        </w:rPr>
        <w:t>显著下降所致</w:t>
      </w:r>
    </w:p>
    <w:p w:rsidR="00C5112A" w14:paraId="0918107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肌细胞生成的乳酸进入肝细胞只需通过组织液</w:t>
      </w:r>
    </w:p>
    <w:p w:rsidR="00C5112A" w14:paraId="7B3B876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乳酸转化为葡萄糖的过程在内环境中进行</w:t>
      </w:r>
    </w:p>
    <w:p w:rsidR="00C5112A" w14:paraId="35C772A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促进乳酸在体内的运输有利于缓解酸痛</w:t>
      </w:r>
    </w:p>
    <w:p w:rsidR="00C5112A" w14:paraId="3F858B71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在一定条件下，斐林试剂可与葡萄糖反应生成砖红色沉淀，去除沉淀后的溶液蓝色变浅，测定其吸光值可用于计算葡萄糖含量。下表是用该方法检测不同样本的结果。下列叙述正确的是（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2329"/>
        <w:gridCol w:w="713"/>
        <w:gridCol w:w="713"/>
        <w:gridCol w:w="713"/>
        <w:gridCol w:w="713"/>
        <w:gridCol w:w="713"/>
        <w:gridCol w:w="713"/>
      </w:tblGrid>
      <w:tr w14:paraId="6A843DEA" w14:textId="7777777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014338AF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样本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0AE241C2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25015B17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40103565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48DD3015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688A6341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⑤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200E9559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⑥</w:t>
            </w:r>
          </w:p>
        </w:tc>
      </w:tr>
      <w:tr w14:paraId="2D60DF76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6E4817E4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吸光值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5EC97685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0.616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71D4AD59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0.606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070B11CB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0.595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4EB63FEF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0.583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40BF8D97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0.571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0FA7A490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0.564</w:t>
            </w:r>
          </w:p>
        </w:tc>
      </w:tr>
      <w:tr w14:paraId="3FBA1E9F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78697FB7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葡萄糖含量（</w:t>
            </w:r>
            <w:r>
              <w:rPr>
                <w:rFonts w:eastAsia="Times New Roman" w:cs="Times New Roman"/>
                <w:color w:val="000000"/>
              </w:rPr>
              <w:t>mg/mL</w:t>
            </w:r>
            <w:r>
              <w:rPr>
                <w:rFonts w:ascii="宋体" w:hAnsi="宋体"/>
                <w:color w:val="000000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0255851F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25E0B0A2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37E4FD70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66DB8036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0DD27F3F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5F684F61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0.5</w:t>
            </w:r>
          </w:p>
        </w:tc>
      </w:tr>
    </w:tbl>
    <w:p w:rsidR="00C5112A" w14:paraId="62358031" w14:textId="77777777">
      <w:pPr>
        <w:spacing w:line="360" w:lineRule="auto"/>
        <w:textAlignment w:val="center"/>
        <w:rPr>
          <w:color w:val="000000"/>
        </w:rPr>
      </w:pPr>
    </w:p>
    <w:p w:rsidR="00C5112A" w14:paraId="3983CE1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斐林试剂与样本混合后立即生成砖红色沉淀</w:t>
      </w:r>
    </w:p>
    <w:p w:rsidR="00C5112A" w14:paraId="1087011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吸光值与样本的葡萄糖含量有关，与斐林试剂的用量无关</w:t>
      </w:r>
    </w:p>
    <w:p w:rsidR="00C5112A" w14:paraId="2642491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若某样本的吸光值为</w:t>
      </w:r>
      <w:r>
        <w:rPr>
          <w:rFonts w:eastAsia="Times New Roman" w:cs="Times New Roman"/>
          <w:color w:val="000000"/>
        </w:rPr>
        <w:t>0.578</w:t>
      </w:r>
      <w:r>
        <w:rPr>
          <w:rFonts w:ascii="宋体" w:hAnsi="宋体"/>
          <w:color w:val="000000"/>
        </w:rPr>
        <w:t>，则其葡萄糖含量大于</w:t>
      </w:r>
      <w:r>
        <w:rPr>
          <w:rFonts w:eastAsia="Times New Roman" w:cs="Times New Roman"/>
          <w:color w:val="000000"/>
        </w:rPr>
        <w:t>0.4mg/mL</w:t>
      </w:r>
    </w:p>
    <w:p w:rsidR="00C5112A" w14:paraId="57FAE0D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在一定范围内葡萄糖含量越高，反应液去除沉淀后蓝色越浅</w:t>
      </w:r>
    </w:p>
    <w:p w:rsidR="00C5112A" w14:paraId="4E9101CE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从如图中选取装置，用于探究酵母菌细胞呼吸方式，正确的组合是（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920"/>
        <w:gridCol w:w="1920"/>
        <w:gridCol w:w="2220"/>
        <w:gridCol w:w="3211"/>
      </w:tblGrid>
      <w:tr w14:paraId="0249D90A" w14:textId="7777777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2BFF2A48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>
                  <wp:extent cx="733425" cy="1038225"/>
                  <wp:effectExtent l="0" t="0" r="0" b="0"/>
                  <wp:docPr id="100007" name="图片 100007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112A" w14:paraId="7705DBF4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酵母菌培养液①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36D40AA4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>
                  <wp:extent cx="790575" cy="1104900"/>
                  <wp:effectExtent l="0" t="0" r="0" b="0"/>
                  <wp:docPr id="100009" name="图片 100009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112A" w14:paraId="7FA8F7BC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酵母菌培养液②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1034F66A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>
                  <wp:extent cx="904875" cy="1200150"/>
                  <wp:effectExtent l="0" t="0" r="0" b="0"/>
                  <wp:docPr id="100011" name="图片 100011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112A" w14:paraId="5ADDF196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澄清的石灰水③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0F89E05C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>
                  <wp:extent cx="1247775" cy="1304925"/>
                  <wp:effectExtent l="0" t="0" r="0" b="0"/>
                  <wp:docPr id="100013" name="图片 100013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112A" w14:paraId="3770ED3C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酵母菌培养液④</w:t>
            </w:r>
          </w:p>
        </w:tc>
      </w:tr>
      <w:tr w14:paraId="49C871EE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6617F79F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>
                  <wp:extent cx="1066800" cy="1485900"/>
                  <wp:effectExtent l="0" t="0" r="0" b="0"/>
                  <wp:docPr id="100015" name="图片 100015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112A" w14:paraId="4083884C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酵母菌培养液⑤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1110ADEB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>
                  <wp:extent cx="1066800" cy="1409700"/>
                  <wp:effectExtent l="0" t="0" r="0" b="0"/>
                  <wp:docPr id="100017" name="图片 100017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112A" w14:paraId="47ECCFD6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酵母菌培养液⑥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62EE18CF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>
                  <wp:extent cx="1257300" cy="1352550"/>
                  <wp:effectExtent l="0" t="0" r="0" b="0"/>
                  <wp:docPr id="100019" name="图片 100019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112A" w14:paraId="633AB5C2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澄清的石灰水⑦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5E5BB748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>
                  <wp:extent cx="1076325" cy="1362075"/>
                  <wp:effectExtent l="0" t="0" r="0" b="0"/>
                  <wp:docPr id="100021" name="图片 100021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112A" w14:paraId="7F931CE5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质量分数为</w:t>
            </w:r>
            <w:r>
              <w:rPr>
                <w:rFonts w:eastAsia="Times New Roman" w:cs="Times New Roman"/>
                <w:color w:val="000000"/>
              </w:rPr>
              <w:t>10%</w:t>
            </w:r>
            <w:r>
              <w:rPr>
                <w:rFonts w:ascii="宋体" w:hAnsi="宋体"/>
                <w:color w:val="000000"/>
              </w:rPr>
              <w:t>的</w:t>
            </w:r>
            <w:r>
              <w:rPr>
                <w:rFonts w:eastAsia="Times New Roman" w:cs="Times New Roman"/>
                <w:color w:val="000000"/>
              </w:rPr>
              <w:t>NaOH</w:t>
            </w:r>
            <w:r>
              <w:rPr>
                <w:rFonts w:ascii="宋体" w:hAnsi="宋体"/>
                <w:color w:val="000000"/>
              </w:rPr>
              <w:t>溶液⑧</w:t>
            </w:r>
          </w:p>
        </w:tc>
      </w:tr>
    </w:tbl>
    <w:p w:rsidR="00C5112A" w14:paraId="29C7914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注：箭头表示气流方向</w:t>
      </w:r>
    </w:p>
    <w:p w:rsidR="00C5112A" w14:paraId="681E08A4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⑤</w:t>
      </w:r>
      <w:r>
        <w:rPr>
          <w:rFonts w:eastAsia="Times New Roman" w:cs="Times New Roman"/>
          <w:color w:val="000000"/>
        </w:rPr>
        <w:t>→</w:t>
      </w:r>
      <w:r>
        <w:rPr>
          <w:rFonts w:ascii="宋体" w:hAnsi="宋体"/>
          <w:color w:val="000000"/>
        </w:rPr>
        <w:t>⑧</w:t>
      </w:r>
      <w:r>
        <w:rPr>
          <w:rFonts w:eastAsia="Times New Roman" w:cs="Times New Roman"/>
          <w:color w:val="000000"/>
        </w:rPr>
        <w:t>→</w:t>
      </w:r>
      <w:r>
        <w:rPr>
          <w:rFonts w:ascii="宋体" w:hAnsi="宋体"/>
          <w:color w:val="000000"/>
        </w:rPr>
        <w:t>⑦和⑥</w:t>
      </w:r>
      <w:r>
        <w:rPr>
          <w:rFonts w:eastAsia="Times New Roman" w:cs="Times New Roman"/>
          <w:color w:val="000000"/>
        </w:rPr>
        <w:t>→</w:t>
      </w:r>
      <w:r>
        <w:rPr>
          <w:rFonts w:ascii="宋体" w:hAnsi="宋体"/>
          <w:color w:val="000000"/>
        </w:rPr>
        <w:t>③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⑧</w:t>
      </w:r>
      <w:r>
        <w:rPr>
          <w:rFonts w:eastAsia="Times New Roman" w:cs="Times New Roman"/>
          <w:color w:val="000000"/>
        </w:rPr>
        <w:t>→</w:t>
      </w:r>
      <w:r>
        <w:rPr>
          <w:rFonts w:ascii="宋体" w:hAnsi="宋体"/>
          <w:color w:val="000000"/>
        </w:rPr>
        <w:t>①</w:t>
      </w:r>
      <w:r>
        <w:rPr>
          <w:rFonts w:eastAsia="Times New Roman" w:cs="Times New Roman"/>
          <w:color w:val="000000"/>
        </w:rPr>
        <w:t>→</w:t>
      </w:r>
      <w:r>
        <w:rPr>
          <w:rFonts w:ascii="宋体" w:hAnsi="宋体"/>
          <w:color w:val="000000"/>
        </w:rPr>
        <w:t>③和②</w:t>
      </w:r>
      <w:r>
        <w:rPr>
          <w:rFonts w:eastAsia="Times New Roman" w:cs="Times New Roman"/>
          <w:color w:val="000000"/>
        </w:rPr>
        <w:t>→</w:t>
      </w:r>
      <w:r>
        <w:rPr>
          <w:rFonts w:ascii="宋体" w:hAnsi="宋体"/>
          <w:color w:val="000000"/>
        </w:rPr>
        <w:t>③</w:t>
      </w:r>
    </w:p>
    <w:p w:rsidR="00C5112A" w14:paraId="633E7B54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⑤</w:t>
      </w:r>
      <w:r>
        <w:rPr>
          <w:rFonts w:eastAsia="Times New Roman" w:cs="Times New Roman"/>
          <w:color w:val="000000"/>
        </w:rPr>
        <w:t>→</w:t>
      </w:r>
      <w:r>
        <w:rPr>
          <w:rFonts w:ascii="宋体" w:hAnsi="宋体"/>
          <w:color w:val="000000"/>
        </w:rPr>
        <w:t>⑧</w:t>
      </w:r>
      <w:r>
        <w:rPr>
          <w:rFonts w:eastAsia="Times New Roman" w:cs="Times New Roman"/>
          <w:color w:val="000000"/>
        </w:rPr>
        <w:t>→</w:t>
      </w:r>
      <w:r>
        <w:rPr>
          <w:rFonts w:ascii="宋体" w:hAnsi="宋体"/>
          <w:color w:val="000000"/>
        </w:rPr>
        <w:t>③和④</w:t>
      </w:r>
      <w:r>
        <w:rPr>
          <w:rFonts w:eastAsia="Times New Roman" w:cs="Times New Roman"/>
          <w:color w:val="000000"/>
        </w:rPr>
        <w:t>→</w:t>
      </w:r>
      <w:r>
        <w:rPr>
          <w:rFonts w:ascii="宋体" w:hAnsi="宋体"/>
          <w:color w:val="000000"/>
        </w:rPr>
        <w:t>⑦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⑧</w:t>
      </w:r>
      <w:r>
        <w:rPr>
          <w:rFonts w:eastAsia="Times New Roman" w:cs="Times New Roman"/>
          <w:color w:val="000000"/>
        </w:rPr>
        <w:t>→</w:t>
      </w:r>
      <w:r>
        <w:rPr>
          <w:rFonts w:ascii="宋体" w:hAnsi="宋体"/>
          <w:color w:val="000000"/>
        </w:rPr>
        <w:t>⑤</w:t>
      </w:r>
      <w:r>
        <w:rPr>
          <w:rFonts w:eastAsia="Times New Roman" w:cs="Times New Roman"/>
          <w:color w:val="000000"/>
        </w:rPr>
        <w:t>→</w:t>
      </w:r>
      <w:r>
        <w:rPr>
          <w:rFonts w:ascii="宋体" w:hAnsi="宋体"/>
          <w:color w:val="000000"/>
        </w:rPr>
        <w:t>③和⑥</w:t>
      </w:r>
      <w:r>
        <w:rPr>
          <w:rFonts w:eastAsia="Times New Roman" w:cs="Times New Roman"/>
          <w:color w:val="000000"/>
        </w:rPr>
        <w:t>→</w:t>
      </w:r>
      <w:r>
        <w:rPr>
          <w:rFonts w:ascii="宋体" w:hAnsi="宋体"/>
          <w:color w:val="000000"/>
        </w:rPr>
        <w:t>⑦</w:t>
      </w:r>
    </w:p>
    <w:p w:rsidR="00C5112A" w14:paraId="6F0E3A1A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如图表示人动脉血压维持相对稳定的一种反射过程。动脉血压正常时，过高过紧的衣领会直接刺激颈动脉窦压力感受器，引起后续的反射过程，使人头晕甚至晕厥，即“衣领综合征”。下列叙述错误的是（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C5112A" w14:paraId="0FD7E990" w14:textId="7777777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200275" cy="2066925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12A" w14:paraId="6928055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窦神经受损时，颈动脉窦压力感受器仍可产生兴奋</w:t>
      </w:r>
    </w:p>
    <w:p w:rsidR="00C5112A" w14:paraId="3F62A8A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动脉血压的波动可通过神经调节快速恢复正常</w:t>
      </w:r>
    </w:p>
    <w:p w:rsidR="00C5112A" w14:paraId="46EC459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“衣领综合征”是反射启动后引起血压升高所致</w:t>
      </w:r>
    </w:p>
    <w:p w:rsidR="00C5112A" w14:paraId="71376E0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动脉血压维持相对稳定的过程体现了负反馈调节作用</w:t>
      </w:r>
    </w:p>
    <w:p w:rsidR="00C5112A" w14:paraId="7685D6A4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乔木种群的径级结构（代表年龄组成）可以反映种群与环境之间的相互关系，预测种群未来发展趋势。研究人员调查了甲、乙两地不同坡向某种乔木的径级结构，结果见如图。下列叙述错误的是（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C5112A" w14:paraId="07883D67" w14:textId="7777777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3676650" cy="1857375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</w:rPr>
        <w:drawing>
          <wp:inline distT="0" distB="0" distL="0" distR="0">
            <wp:extent cx="3552825" cy="1838325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12A" w14:paraId="10A85A9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 xml:space="preserve">          </w:t>
      </w:r>
      <w:r>
        <w:rPr>
          <w:rFonts w:ascii="宋体" w:hAnsi="宋体"/>
          <w:color w:val="000000"/>
        </w:rPr>
        <w:t>注：</w:t>
      </w:r>
      <w:r>
        <w:rPr>
          <w:rFonts w:eastAsia="Times New Roman" w:cs="Times New Roman"/>
          <w:color w:val="000000"/>
        </w:rPr>
        <w:t>I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II</w:t>
      </w:r>
      <w:r>
        <w:rPr>
          <w:rFonts w:ascii="宋体" w:hAnsi="宋体"/>
          <w:color w:val="000000"/>
        </w:rPr>
        <w:t>为幼年期，</w:t>
      </w:r>
      <w:r>
        <w:rPr>
          <w:rFonts w:eastAsia="Times New Roman" w:cs="Times New Roman"/>
          <w:color w:val="000000"/>
        </w:rPr>
        <w:t>III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IV</w:t>
      </w:r>
      <w:r>
        <w:rPr>
          <w:rFonts w:ascii="宋体" w:hAnsi="宋体"/>
          <w:color w:val="000000"/>
        </w:rPr>
        <w:t>为成年期，</w:t>
      </w:r>
      <w:r>
        <w:rPr>
          <w:rFonts w:eastAsia="Times New Roman" w:cs="Times New Roman"/>
          <w:color w:val="000000"/>
        </w:rPr>
        <w:t>V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VI</w:t>
      </w:r>
      <w:r>
        <w:rPr>
          <w:rFonts w:ascii="宋体" w:hAnsi="宋体"/>
          <w:color w:val="000000"/>
        </w:rPr>
        <w:t>为老年期</w:t>
      </w:r>
    </w:p>
    <w:p w:rsidR="00C5112A" w14:paraId="25A7C88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甲地</w:t>
      </w:r>
      <w:r>
        <w:rPr>
          <w:rFonts w:eastAsia="Times New Roman" w:cs="Times New Roman"/>
          <w:color w:val="000000"/>
        </w:rPr>
        <w:t>III</w:t>
      </w:r>
      <w:r>
        <w:rPr>
          <w:rFonts w:ascii="宋体" w:hAnsi="宋体"/>
          <w:color w:val="000000"/>
        </w:rPr>
        <w:t>径级个体可能在幼年期经历了干旱等不利环境</w:t>
      </w:r>
    </w:p>
    <w:p w:rsidR="00C5112A" w14:paraId="30C4473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乙地阳坡的种群密度比甲地阳坡的种群密度低</w:t>
      </w:r>
    </w:p>
    <w:p w:rsidR="00C5112A" w14:paraId="74EE06D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甲、乙两地阳坡的种群年龄结构分别为稳定型和衰退型</w:t>
      </w:r>
    </w:p>
    <w:p w:rsidR="00C5112A" w14:paraId="6A884BF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甲、乙两地阴坡的种群增长曲线均为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型</w:t>
      </w:r>
    </w:p>
    <w:p w:rsidR="00C5112A" w14:paraId="09D79DC0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植物体细胞通常被诱导为愈伤组织后才能表现全能性。研究发现，愈伤组织的中层细胞是根或芽再生的源头干细胞，其在不同条件下，通过基因的特异性表达调控生长素、细胞分裂素的作用，表现出不同的效应（见如表）。已知生长素的生理作用大于细胞分裂素时有利于根的再生；反之，有利于芽的再生。下列推论不合理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660"/>
        <w:gridCol w:w="2722"/>
        <w:gridCol w:w="1710"/>
      </w:tblGrid>
      <w:tr w14:paraId="63DBC00A" w14:textId="7777777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2FCB7FC1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条件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2CF0E103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基因表达产物和相互作用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2FF4F806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效应</w:t>
            </w:r>
          </w:p>
        </w:tc>
      </w:tr>
      <w:tr w14:paraId="4CCC8616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006332E0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78A37CC9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WOX5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32F71AD1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维持未分化状态</w:t>
            </w:r>
          </w:p>
        </w:tc>
      </w:tr>
      <w:tr w14:paraId="72D11F1C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5D40E2BE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1D476A51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WOX5+PLT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57C6705A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诱导出根</w:t>
            </w:r>
          </w:p>
        </w:tc>
      </w:tr>
      <w:tr w14:paraId="3EDC885C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5BA35D05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25347FBB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WOX5+ARR2</w:t>
            </w:r>
            <w:r>
              <w:rPr>
                <w:rFonts w:ascii="宋体" w:hAnsi="宋体"/>
                <w:color w:val="000000"/>
              </w:rPr>
              <w:t>，抑制</w:t>
            </w:r>
            <w:r>
              <w:rPr>
                <w:rFonts w:eastAsia="Times New Roman" w:cs="Times New Roman"/>
                <w:color w:val="000000"/>
              </w:rPr>
              <w:t>ARR5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6A14E686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诱导出芽</w:t>
            </w:r>
          </w:p>
        </w:tc>
      </w:tr>
    </w:tbl>
    <w:p w:rsidR="00C5112A" w14:paraId="2D67F78E" w14:textId="77777777">
      <w:pPr>
        <w:spacing w:line="360" w:lineRule="auto"/>
        <w:textAlignment w:val="center"/>
        <w:rPr>
          <w:color w:val="000000"/>
        </w:rPr>
      </w:pPr>
    </w:p>
    <w:p w:rsidR="00C5112A" w14:paraId="0890DD0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WOX5</w:t>
      </w:r>
      <w:r>
        <w:rPr>
          <w:rFonts w:ascii="宋体" w:hAnsi="宋体"/>
          <w:color w:val="000000"/>
        </w:rPr>
        <w:t>失活后，中层细胞会丧失干细胞特性</w:t>
      </w:r>
    </w:p>
    <w:p w:rsidR="00C5112A" w14:paraId="387C123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eastAsia="Times New Roman" w:cs="Times New Roman"/>
          <w:color w:val="000000"/>
        </w:rPr>
        <w:t>WOX5+PLT</w:t>
      </w:r>
      <w:r>
        <w:rPr>
          <w:rFonts w:ascii="宋体" w:hAnsi="宋体"/>
          <w:color w:val="000000"/>
        </w:rPr>
        <w:t>可能有利于愈伤组织中生长素的积累</w:t>
      </w:r>
    </w:p>
    <w:p w:rsidR="00C5112A" w14:paraId="0AD4669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eastAsia="Times New Roman" w:cs="Times New Roman"/>
          <w:color w:val="000000"/>
        </w:rPr>
        <w:t>ARR5</w:t>
      </w:r>
      <w:r>
        <w:rPr>
          <w:rFonts w:ascii="宋体" w:hAnsi="宋体"/>
          <w:color w:val="000000"/>
        </w:rPr>
        <w:t>促进细胞分裂素积累或提高细胞对细胞分裂素的敏感性</w:t>
      </w:r>
    </w:p>
    <w:p w:rsidR="00C5112A" w14:paraId="1170335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体细胞中生长素和细胞分裂素的作用可能相互抑制</w:t>
      </w:r>
    </w:p>
    <w:p w:rsidR="00C5112A" w14:paraId="186ED9A4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当茎端生长素的浓度高于叶片端时，叶片脱落，反之不脱落；乙烯会促进叶片脱落。为验证生长素和乙烯对叶片脱落的影响，某小组进行了如图所示实验：制备长势和大小一致的外植体，均分为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组，分别将其基部插入培养皿的琼脂中，封严皿盖，培养并观察。根据实验结果分析，下列叙述合理的是（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C5112A" w14:paraId="6FA0292A" w14:textId="7777777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4591050" cy="1409700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12A" w14:paraId="6E58202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③中的叶柄脱落率大于①，是因为④中</w:t>
      </w:r>
      <w:r>
        <w:rPr>
          <w:rFonts w:eastAsia="Times New Roman" w:cs="Times New Roman"/>
          <w:color w:val="000000"/>
        </w:rPr>
        <w:t>NAA</w:t>
      </w:r>
      <w:r>
        <w:rPr>
          <w:rFonts w:ascii="宋体" w:hAnsi="宋体"/>
          <w:color w:val="000000"/>
        </w:rPr>
        <w:t>扩散至③</w:t>
      </w:r>
    </w:p>
    <w:p w:rsidR="00C5112A" w14:paraId="45D54CC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④中的叶柄脱落率大于②，是因为④中乙烯浓度小于②</w:t>
      </w:r>
    </w:p>
    <w:p w:rsidR="00C5112A" w14:paraId="22F06B4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①中的叶柄脱落率小于②，是因为茎端生长素浓度①低于②</w:t>
      </w:r>
    </w:p>
    <w:p w:rsidR="00C5112A" w14:paraId="7C515B7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①中叶柄脱落率随时间延长而增高，是因为①中茎端生长素浓度逐渐升高</w:t>
      </w:r>
    </w:p>
    <w:p w:rsidR="00C5112A" w14:paraId="582EACAF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人的扣手行为属于常染色体遗传，右型扣手（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）对左型扣手（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）为显性。某地区人群中</w:t>
      </w:r>
      <w:r>
        <w:rPr>
          <w:rFonts w:eastAsia="Times New Roman" w:cs="Times New Roman"/>
          <w:color w:val="000000"/>
        </w:rPr>
        <w:t>AA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Aa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aa</w:t>
      </w:r>
      <w:r>
        <w:rPr>
          <w:rFonts w:ascii="宋体" w:hAnsi="宋体"/>
          <w:color w:val="000000"/>
        </w:rPr>
        <w:t>基因型频率分别为</w:t>
      </w:r>
      <w:r>
        <w:rPr>
          <w:rFonts w:eastAsia="Times New Roman" w:cs="Times New Roman"/>
          <w:color w:val="000000"/>
        </w:rPr>
        <w:t>0.16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0.20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0.64</w:t>
      </w:r>
      <w:r>
        <w:rPr>
          <w:rFonts w:ascii="宋体" w:hAnsi="宋体"/>
          <w:color w:val="000000"/>
        </w:rPr>
        <w:t>。下列叙述正确的是（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C5112A" w14:paraId="11A3A84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该群体中两个左型扣手的人婚配，后代左型扣手的概率为</w:t>
      </w:r>
      <w:r>
        <w:rPr>
          <w:rFonts w:eastAsia="Times New Roman" w:cs="Times New Roman"/>
          <w:color w:val="000000"/>
        </w:rPr>
        <w:t>3/50</w:t>
      </w:r>
    </w:p>
    <w:p w:rsidR="00C5112A" w14:paraId="4E7BFC3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该群体中两个右型扣手的人婚配，后代左型扣手的概率为</w:t>
      </w:r>
      <w:r>
        <w:rPr>
          <w:rFonts w:eastAsia="Times New Roman" w:cs="Times New Roman"/>
          <w:color w:val="000000"/>
        </w:rPr>
        <w:t>25/324</w:t>
      </w:r>
    </w:p>
    <w:p w:rsidR="00C5112A" w14:paraId="0588BCC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该群体下一代</w:t>
      </w:r>
      <w:r>
        <w:rPr>
          <w:rFonts w:eastAsia="Times New Roman" w:cs="Times New Roman"/>
          <w:color w:val="000000"/>
        </w:rPr>
        <w:t>AA</w:t>
      </w:r>
      <w:r>
        <w:rPr>
          <w:rFonts w:ascii="宋体" w:hAnsi="宋体"/>
          <w:color w:val="000000"/>
        </w:rPr>
        <w:t>基因型频率为</w:t>
      </w:r>
      <w:r>
        <w:rPr>
          <w:rFonts w:eastAsia="Times New Roman" w:cs="Times New Roman"/>
          <w:color w:val="000000"/>
        </w:rPr>
        <w:t>0.16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aa</w:t>
      </w:r>
      <w:r>
        <w:rPr>
          <w:rFonts w:ascii="宋体" w:hAnsi="宋体"/>
          <w:color w:val="000000"/>
        </w:rPr>
        <w:t>基因型频率为</w:t>
      </w:r>
      <w:r>
        <w:rPr>
          <w:rFonts w:eastAsia="Times New Roman" w:cs="Times New Roman"/>
          <w:color w:val="000000"/>
        </w:rPr>
        <w:t>0.64</w:t>
      </w:r>
    </w:p>
    <w:p w:rsidR="00C5112A" w14:paraId="69BFDBF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该群体下一代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基因频率为</w:t>
      </w:r>
      <w:r>
        <w:rPr>
          <w:rFonts w:eastAsia="Times New Roman" w:cs="Times New Roman"/>
          <w:color w:val="000000"/>
        </w:rPr>
        <w:t>0.4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基因频率为</w:t>
      </w:r>
      <w:r>
        <w:rPr>
          <w:rFonts w:eastAsia="Times New Roman" w:cs="Times New Roman"/>
          <w:color w:val="000000"/>
        </w:rPr>
        <w:t>0.6</w:t>
      </w:r>
    </w:p>
    <w:p w:rsidR="00C5112A" w14:paraId="006758BF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研究发现在野生型果蝇幼虫中降低</w:t>
      </w:r>
      <w:r>
        <w:rPr>
          <w:rFonts w:eastAsia="Times New Roman" w:cs="Times New Roman"/>
          <w:color w:val="000000"/>
        </w:rPr>
        <w:t>lint</w:t>
      </w:r>
      <w:r>
        <w:rPr>
          <w:rFonts w:ascii="宋体" w:hAnsi="宋体"/>
          <w:color w:val="000000"/>
        </w:rPr>
        <w:t>基因表达，能影响另一基因</w:t>
      </w:r>
      <w:r>
        <w:rPr>
          <w:rFonts w:eastAsia="Times New Roman" w:cs="Times New Roman"/>
          <w:color w:val="000000"/>
        </w:rPr>
        <w:t>inr</w:t>
      </w:r>
      <w:r>
        <w:rPr>
          <w:rFonts w:ascii="宋体" w:hAnsi="宋体"/>
          <w:color w:val="000000"/>
        </w:rPr>
        <w:t>的表达（如图），导致果蝇体型变小等异常。下列叙述错误的是（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C5112A" w14:paraId="17C45714" w14:textId="7777777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885950" cy="2047875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12A" w14:paraId="624D5CE0" w14:textId="77777777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WT</w:t>
      </w:r>
      <w:r>
        <w:rPr>
          <w:rFonts w:ascii="宋体" w:hAnsi="宋体"/>
          <w:color w:val="000000"/>
        </w:rPr>
        <w:t>：野生型果蝇幼虫</w:t>
      </w:r>
    </w:p>
    <w:p w:rsidR="00C5112A" w14:paraId="4CF0F7F0" w14:textId="77777777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lint</w:t>
      </w:r>
      <w:r>
        <w:rPr>
          <w:rFonts w:eastAsia="Times New Roman" w:cs="Times New Roman"/>
          <w:color w:val="000000"/>
        </w:rPr>
        <w:t>Ri</w:t>
      </w:r>
      <w:r>
        <w:rPr>
          <w:rFonts w:ascii="宋体" w:hAnsi="宋体"/>
          <w:color w:val="000000"/>
        </w:rPr>
        <w:t>：降低</w:t>
      </w:r>
      <w:r>
        <w:rPr>
          <w:rFonts w:eastAsia="Times New Roman" w:cs="Times New Roman"/>
          <w:i/>
          <w:color w:val="000000"/>
        </w:rPr>
        <w:t>lint</w:t>
      </w:r>
      <w:r>
        <w:rPr>
          <w:rFonts w:ascii="宋体" w:hAnsi="宋体"/>
          <w:color w:val="000000"/>
        </w:rPr>
        <w:t>基因表达后的幼虫</w:t>
      </w:r>
    </w:p>
    <w:p w:rsidR="00C5112A" w14:paraId="53649A3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lint</w:t>
      </w:r>
      <w:r>
        <w:rPr>
          <w:rFonts w:ascii="宋体" w:hAnsi="宋体"/>
          <w:color w:val="000000"/>
        </w:rPr>
        <w:t>基因的表达对</w:t>
      </w:r>
      <w:r>
        <w:rPr>
          <w:rFonts w:eastAsia="Times New Roman" w:cs="Times New Roman"/>
          <w:color w:val="000000"/>
        </w:rPr>
        <w:t>inr</w:t>
      </w:r>
      <w:r>
        <w:rPr>
          <w:rFonts w:ascii="宋体" w:hAnsi="宋体"/>
          <w:color w:val="000000"/>
        </w:rPr>
        <w:t>基因的表达有促进作用</w:t>
      </w:r>
    </w:p>
    <w:p w:rsidR="00C5112A" w14:paraId="557C01C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提高幼虫</w:t>
      </w:r>
      <w:r>
        <w:rPr>
          <w:rFonts w:eastAsia="Times New Roman" w:cs="Times New Roman"/>
          <w:color w:val="000000"/>
        </w:rPr>
        <w:t>lint</w:t>
      </w:r>
      <w:r>
        <w:rPr>
          <w:rFonts w:ascii="宋体" w:hAnsi="宋体"/>
          <w:color w:val="000000"/>
        </w:rPr>
        <w:t>基因表达可能使其体型变大</w:t>
      </w:r>
    </w:p>
    <w:p w:rsidR="00C5112A" w14:paraId="115CD6B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降低幼虫</w:t>
      </w:r>
      <w:r>
        <w:rPr>
          <w:rFonts w:eastAsia="Times New Roman" w:cs="Times New Roman"/>
          <w:color w:val="000000"/>
        </w:rPr>
        <w:t>inr</w:t>
      </w:r>
      <w:r>
        <w:rPr>
          <w:rFonts w:ascii="宋体" w:hAnsi="宋体"/>
          <w:color w:val="000000"/>
        </w:rPr>
        <w:t>基因表达可能使其体型变大</w:t>
      </w:r>
    </w:p>
    <w:p w:rsidR="00C5112A" w14:paraId="31A5A61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果蝇体型大小是多个基因共同作用的结果</w:t>
      </w:r>
    </w:p>
    <w:p w:rsidR="00C5112A" w14:paraId="3AE07227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/>
          <w:color w:val="000000"/>
        </w:rPr>
        <w:t>半乳糖血症是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基因突变导致的常染色体隐性遗传病。研究发现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基因有两个突变位点</w:t>
      </w:r>
      <w:r>
        <w:rPr>
          <w:rFonts w:eastAsia="Times New Roman" w:cs="Times New Roman"/>
          <w:color w:val="000000"/>
        </w:rPr>
        <w:t>I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II</w:t>
      </w:r>
      <w:r>
        <w:rPr>
          <w:rFonts w:ascii="宋体" w:hAnsi="宋体"/>
          <w:color w:val="000000"/>
        </w:rPr>
        <w:t>，任一位点突变或两个位点都突变均可导致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突变成致病基因。如表是人群中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基因突变位点的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种类型。下列叙述正确的是（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tbl>
      <w:tblPr>
        <w:tblW w:w="4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777"/>
        <w:gridCol w:w="635"/>
        <w:gridCol w:w="576"/>
        <w:gridCol w:w="634"/>
        <w:gridCol w:w="634"/>
        <w:gridCol w:w="634"/>
      </w:tblGrid>
      <w:tr w14:paraId="71196E53" w14:textId="77777777">
        <w:tblPrEx>
          <w:tblW w:w="489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4F8820CD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类型突变位点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345F421F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45787D72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3A71649E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2B2DD1F3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17DC14DF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⑤</w:t>
            </w:r>
          </w:p>
        </w:tc>
      </w:tr>
      <w:tr w14:paraId="70C439A9" w14:textId="77777777">
        <w:tblPrEx>
          <w:tblW w:w="4890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6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77AA52A5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5C3184BE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+/+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72BE5027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+/-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0A15CDED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+/+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0189A3FD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+/-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1864DECE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-/-</w:t>
            </w:r>
          </w:p>
        </w:tc>
      </w:tr>
      <w:tr w14:paraId="57A7FDBF" w14:textId="77777777">
        <w:tblPrEx>
          <w:tblW w:w="4890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32E4EFE9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13D481E8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+/+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5A8866F7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+/-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3DE2E8B9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+/-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4506D6A0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+/+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326494AA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+/+</w:t>
            </w:r>
          </w:p>
        </w:tc>
      </w:tr>
    </w:tbl>
    <w:p w:rsidR="00C5112A" w14:paraId="62BE66DF" w14:textId="7777777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注：“</w:t>
      </w:r>
      <w:r>
        <w:rPr>
          <w:rFonts w:eastAsia="Times New Roman" w:cs="Times New Roman"/>
          <w:color w:val="000000"/>
        </w:rPr>
        <w:t>+</w:t>
      </w:r>
      <w:r>
        <w:rPr>
          <w:rFonts w:ascii="宋体" w:hAnsi="宋体"/>
          <w:color w:val="000000"/>
        </w:rPr>
        <w:t>”表示未突变，“</w:t>
      </w:r>
      <w:r>
        <w:rPr>
          <w:rFonts w:eastAsia="Times New Roman" w:cs="Times New Roman"/>
          <w:color w:val="000000"/>
        </w:rPr>
        <w:t>-</w:t>
      </w:r>
      <w:r>
        <w:rPr>
          <w:rFonts w:ascii="宋体" w:hAnsi="宋体"/>
          <w:color w:val="000000"/>
        </w:rPr>
        <w:t>”表示突变，“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”左侧位点位于父方染色体，右侧位点位于母方染色体</w:t>
      </w:r>
    </w:p>
    <w:p w:rsidR="00C5112A" w14:paraId="3D7D54B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若①和③类型的男女婚配，则后代患病的概率是</w:t>
      </w:r>
      <w:r>
        <w:rPr>
          <w:rFonts w:eastAsia="Times New Roman" w:cs="Times New Roman"/>
          <w:color w:val="000000"/>
        </w:rPr>
        <w:t>1/2</w:t>
      </w:r>
    </w:p>
    <w:p w:rsidR="00C5112A" w14:paraId="0C2823A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若②和④类型的男女婚配，则后代患病的概率是</w:t>
      </w:r>
      <w:r>
        <w:rPr>
          <w:rFonts w:eastAsia="Times New Roman" w:cs="Times New Roman"/>
          <w:color w:val="000000"/>
        </w:rPr>
        <w:t>1/4</w:t>
      </w:r>
    </w:p>
    <w:p w:rsidR="00C5112A" w14:paraId="7AEBE34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若②和⑤类型的男女婚配，则后代患病的概率是</w:t>
      </w:r>
      <w:r>
        <w:rPr>
          <w:rFonts w:eastAsia="Times New Roman" w:cs="Times New Roman"/>
          <w:color w:val="000000"/>
        </w:rPr>
        <w:t>1/4</w:t>
      </w:r>
    </w:p>
    <w:p w:rsidR="00C5112A" w14:paraId="467BFEE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若①和⑤类型的男女婚配，则后代患病的概率是</w:t>
      </w:r>
      <w:r>
        <w:rPr>
          <w:rFonts w:eastAsia="Times New Roman" w:cs="Times New Roman"/>
          <w:color w:val="000000"/>
        </w:rPr>
        <w:t>1/2</w:t>
      </w:r>
    </w:p>
    <w:p w:rsidR="00C5112A" w14:paraId="1DEFB0FA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/>
          <w:color w:val="000000"/>
        </w:rPr>
        <w:t>人卵细胞形成过程如图所示。在辅助生殖时对极体进行遗传筛查，可降低后代患遗传病的概率。一对夫妻因妻子高龄且是血友病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基因携带者（</w:t>
      </w:r>
      <w:r>
        <w:rPr>
          <w:rFonts w:eastAsia="Times New Roman" w:cs="Times New Roman"/>
          <w:color w:val="000000"/>
        </w:rPr>
        <w:t>X</w:t>
      </w:r>
      <w:r>
        <w:rPr>
          <w:rFonts w:eastAsia="Times New Roman" w:cs="Times New Roman"/>
          <w:color w:val="000000"/>
          <w:vertAlign w:val="superscript"/>
        </w:rPr>
        <w:t>A</w:t>
      </w:r>
      <w:r>
        <w:rPr>
          <w:rFonts w:eastAsia="Times New Roman" w:cs="Times New Roman"/>
          <w:color w:val="000000"/>
        </w:rPr>
        <w:t>X</w:t>
      </w:r>
      <w:r>
        <w:rPr>
          <w:rFonts w:eastAsia="Times New Roman" w:cs="Times New Roman"/>
          <w:color w:val="000000"/>
          <w:vertAlign w:val="superscript"/>
        </w:rPr>
        <w:t>a</w:t>
      </w:r>
      <w:r>
        <w:rPr>
          <w:rFonts w:ascii="宋体" w:hAnsi="宋体"/>
          <w:color w:val="000000"/>
        </w:rPr>
        <w:t>），需进行遗传筛查。不考虑基因突变，下列推断正确的是（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C5112A" w14:paraId="0F65295C" w14:textId="7777777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314575" cy="2771775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12A" w14:paraId="36F06D4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若第二极体的染色体数目为</w:t>
      </w:r>
      <w:r>
        <w:rPr>
          <w:rFonts w:eastAsia="Times New Roman" w:cs="Times New Roman"/>
          <w:color w:val="000000"/>
        </w:rPr>
        <w:t>22</w:t>
      </w:r>
      <w:r>
        <w:rPr>
          <w:rFonts w:ascii="宋体" w:hAnsi="宋体"/>
          <w:color w:val="000000"/>
        </w:rPr>
        <w:t>，则卵细胞染色体数目一定是</w:t>
      </w:r>
      <w:r>
        <w:rPr>
          <w:rFonts w:eastAsia="Times New Roman" w:cs="Times New Roman"/>
          <w:color w:val="000000"/>
        </w:rPr>
        <w:t>24</w:t>
      </w:r>
    </w:p>
    <w:p w:rsidR="00C5112A" w14:paraId="409D729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若第一极体的染色体数目为</w:t>
      </w:r>
      <w:r>
        <w:rPr>
          <w:rFonts w:eastAsia="Times New Roman" w:cs="Times New Roman"/>
          <w:color w:val="000000"/>
        </w:rPr>
        <w:t>23</w:t>
      </w:r>
      <w:r>
        <w:rPr>
          <w:rFonts w:ascii="宋体" w:hAnsi="宋体"/>
          <w:color w:val="000000"/>
        </w:rPr>
        <w:t>，则卵细胞染色体数目一定是</w:t>
      </w:r>
      <w:r>
        <w:rPr>
          <w:rFonts w:eastAsia="Times New Roman" w:cs="Times New Roman"/>
          <w:color w:val="000000"/>
        </w:rPr>
        <w:t>23</w:t>
      </w:r>
    </w:p>
    <w:p w:rsidR="00C5112A" w14:paraId="734117D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若减数分裂正常，且第二极体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染色体有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个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基因，则所生男孩一定患病</w:t>
      </w:r>
    </w:p>
    <w:p w:rsidR="00C5112A" w14:paraId="233C73E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若减数分裂正常，且第一极体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染色体有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个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基因，则所生男孩一定患病</w:t>
      </w:r>
    </w:p>
    <w:p w:rsidR="00C5112A" w14:paraId="6137A58F" w14:textId="77777777">
      <w:pPr>
        <w:spacing w:line="285" w:lineRule="auto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二、非选择题：</w:t>
      </w:r>
      <w:r>
        <w:rPr>
          <w:rFonts w:eastAsia="Times New Roman" w:cs="Times New Roman"/>
          <w:b/>
          <w:color w:val="000000"/>
          <w:sz w:val="24"/>
        </w:rPr>
        <w:t xml:space="preserve"> </w:t>
      </w:r>
    </w:p>
    <w:p w:rsidR="00C5112A" w14:paraId="2ED738B7" w14:textId="77777777">
      <w:pPr>
        <w:spacing w:line="285" w:lineRule="auto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必考题：</w:t>
      </w:r>
      <w:r>
        <w:rPr>
          <w:rFonts w:eastAsia="Times New Roman" w:cs="Times New Roman"/>
          <w:b/>
          <w:color w:val="000000"/>
          <w:sz w:val="24"/>
        </w:rPr>
        <w:t xml:space="preserve"> </w:t>
      </w:r>
    </w:p>
    <w:p w:rsidR="00C5112A" w14:paraId="11A78F30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/>
          <w:color w:val="000000"/>
        </w:rPr>
        <w:t>人体内的蛋白可发生瓜氨酸化，部分人的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细胞对其异常敏感，而将其识别为抗原，产生特异性抗体</w:t>
      </w:r>
      <w:r>
        <w:rPr>
          <w:rFonts w:eastAsia="Times New Roman" w:cs="Times New Roman"/>
          <w:color w:val="000000"/>
        </w:rPr>
        <w:t>ACPA</w:t>
      </w:r>
      <w:r>
        <w:rPr>
          <w:rFonts w:ascii="宋体" w:hAnsi="宋体"/>
          <w:color w:val="000000"/>
        </w:rPr>
        <w:t>，攻击人体细胞，导致患类风湿性关节炎。</w:t>
      </w:r>
    </w:p>
    <w:p w:rsidR="00C5112A" w14:paraId="642CDB9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类风湿性关节炎是由于免疫系统的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功能异常所致。</w:t>
      </w:r>
    </w:p>
    <w:p w:rsidR="00C5112A" w14:paraId="27F0D75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如图①所示，</w:t>
      </w:r>
      <w:r>
        <w:rPr>
          <w:rFonts w:eastAsia="Times New Roman" w:cs="Times New Roman"/>
          <w:color w:val="000000"/>
        </w:rPr>
        <w:t>CD20</w:t>
      </w:r>
      <w:r>
        <w:rPr>
          <w:rFonts w:ascii="宋体" w:hAnsi="宋体"/>
          <w:color w:val="000000"/>
        </w:rPr>
        <w:t>是所有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细胞膜上共有的受体，人工制备的</w:t>
      </w:r>
      <w:r>
        <w:rPr>
          <w:rFonts w:eastAsia="Times New Roman" w:cs="Times New Roman"/>
          <w:color w:val="000000"/>
        </w:rPr>
        <w:t>CD20</w:t>
      </w:r>
      <w:r>
        <w:rPr>
          <w:rFonts w:ascii="宋体" w:hAnsi="宋体"/>
          <w:color w:val="000000"/>
        </w:rPr>
        <w:t>抗体通过结合</w:t>
      </w:r>
      <w:r>
        <w:rPr>
          <w:rFonts w:eastAsia="Times New Roman" w:cs="Times New Roman"/>
          <w:color w:val="000000"/>
        </w:rPr>
        <w:t>CD20</w:t>
      </w:r>
      <w:r>
        <w:rPr>
          <w:rFonts w:ascii="宋体" w:hAnsi="宋体"/>
          <w:color w:val="000000"/>
        </w:rPr>
        <w:t>，破坏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细胞。推测这种疗法可以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（填“缓解”或“根治”）类风湿性关节炎，其可能的副作用是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。</w:t>
      </w:r>
    </w:p>
    <w:p w:rsidR="00C5112A" w14:paraId="5D821A3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患者体内部分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细胞的膜上存在蛋白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（如图②）。为了专一破坏该类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细胞，研究人员设计了携带有</w:t>
      </w:r>
      <w:r>
        <w:rPr>
          <w:rFonts w:eastAsia="Times New Roman" w:cs="Times New Roman"/>
          <w:color w:val="000000"/>
        </w:rPr>
        <w:t>SCP</w:t>
      </w:r>
      <w:r>
        <w:rPr>
          <w:rFonts w:ascii="宋体" w:hAnsi="宋体"/>
          <w:color w:val="000000"/>
        </w:rPr>
        <w:t>和药物的复合物。</w:t>
      </w:r>
      <w:r>
        <w:rPr>
          <w:rFonts w:eastAsia="Times New Roman" w:cs="Times New Roman"/>
          <w:color w:val="000000"/>
        </w:rPr>
        <w:t>SCP</w:t>
      </w:r>
      <w:r>
        <w:rPr>
          <w:rFonts w:ascii="宋体" w:hAnsi="宋体"/>
          <w:color w:val="000000"/>
        </w:rPr>
        <w:t>是人工合成的瓜氨酸化蛋白的类似物，推测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应为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。为检测</w:t>
      </w:r>
      <w:r>
        <w:rPr>
          <w:rFonts w:eastAsia="Times New Roman" w:cs="Times New Roman"/>
          <w:color w:val="000000"/>
        </w:rPr>
        <w:t>SCP</w:t>
      </w:r>
      <w:r>
        <w:rPr>
          <w:rFonts w:ascii="宋体" w:hAnsi="宋体"/>
          <w:color w:val="000000"/>
        </w:rPr>
        <w:t>的作用，研究人员对健康小鼠注射了</w:t>
      </w:r>
      <w:r>
        <w:rPr>
          <w:rFonts w:eastAsia="Times New Roman" w:cs="Times New Roman"/>
          <w:color w:val="000000"/>
        </w:rPr>
        <w:t>SCP</w:t>
      </w:r>
      <w:r>
        <w:rPr>
          <w:rFonts w:ascii="宋体" w:hAnsi="宋体"/>
          <w:color w:val="000000"/>
        </w:rPr>
        <w:t>，小鼠出现了类风湿性关节炎症状，原因可能是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。</w:t>
      </w:r>
    </w:p>
    <w:p w:rsidR="00C5112A" w14:paraId="63359D1B" w14:textId="7777777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800225" cy="1752600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12A" w14:paraId="1AD8F3D2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/>
          <w:color w:val="000000"/>
        </w:rPr>
        <w:t>入侵植物水葫芦曾经在我国多地泛滥成灾。研究人员对某水域水葫芦入侵前后的群落特征进行了研究，</w:t>
      </w:r>
      <w:r>
        <w:rPr>
          <w:rFonts w:ascii="宋体" w:hAnsi="宋体"/>
          <w:color w:val="000000"/>
        </w:rPr>
        <w:t>结果见如表：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870"/>
        <w:gridCol w:w="450"/>
        <w:gridCol w:w="870"/>
        <w:gridCol w:w="3180"/>
        <w:gridCol w:w="2130"/>
      </w:tblGrid>
      <w:tr w14:paraId="65D6D53A" w14:textId="7777777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15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100E7F0E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调查时段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172D05AB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物种数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353F32D6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植物类型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548DFAAE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优势种</w:t>
            </w:r>
          </w:p>
        </w:tc>
      </w:tr>
      <w:tr w14:paraId="0A11BE84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7DBF011C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入侵前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239A96B8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7C94DAF2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75A06867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沉水植物、浮水植物、挺水植物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25D2263D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龙须眼子菜等多种</w:t>
            </w:r>
          </w:p>
        </w:tc>
      </w:tr>
      <w:tr w14:paraId="0EB8D872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15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65C684F3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入侵后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0BE7448F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423DD31A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58D86C47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浮水植物、挺水植物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01BEC5D9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水葫芦、龙须眼子菜</w:t>
            </w:r>
          </w:p>
        </w:tc>
      </w:tr>
      <w:tr w14:paraId="5ABBC671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112A" w14:paraId="6454533F" w14:textId="77777777">
            <w:pPr>
              <w:spacing w:line="360" w:lineRule="auto"/>
              <w:textAlignment w:val="center"/>
              <w:rPr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120A93D2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3AD5A366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30EA5E2A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浮水植物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5112A" w14:paraId="2A2B507E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水葫芦</w:t>
            </w:r>
          </w:p>
        </w:tc>
      </w:tr>
    </w:tbl>
    <w:p w:rsidR="00C5112A" w14:paraId="70B8C0A1" w14:textId="77777777">
      <w:pPr>
        <w:spacing w:line="360" w:lineRule="auto"/>
        <w:textAlignment w:val="center"/>
        <w:rPr>
          <w:color w:val="000000"/>
        </w:rPr>
      </w:pPr>
    </w:p>
    <w:p w:rsidR="00C5112A" w14:paraId="7AC2C9A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I</w:t>
      </w:r>
      <w:r>
        <w:rPr>
          <w:rFonts w:ascii="宋体" w:hAnsi="宋体"/>
          <w:color w:val="000000"/>
        </w:rPr>
        <w:t>时段，该水域群落具有明显的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结构；</w:t>
      </w:r>
      <w:r>
        <w:rPr>
          <w:rFonts w:eastAsia="Times New Roman" w:cs="Times New Roman"/>
          <w:color w:val="000000"/>
        </w:rPr>
        <w:t>II</w:t>
      </w:r>
      <w:r>
        <w:rPr>
          <w:rFonts w:ascii="宋体" w:hAnsi="宋体"/>
          <w:color w:val="000000"/>
        </w:rPr>
        <w:t>时段，沉水植物消失，可能原因是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。</w:t>
      </w:r>
    </w:p>
    <w:p w:rsidR="00C5112A" w14:paraId="1DC03FA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调查种群密度常用样方法，样方面积应根据种群个体数进行调整</w:t>
      </w:r>
      <w:r>
        <w:rPr>
          <w:rFonts w:ascii="宋体" w:hAnsi="宋体"/>
          <w:noProof/>
          <w:color w:val="000000"/>
          <w:position w:val="-12"/>
        </w:rPr>
        <w:drawing>
          <wp:inline distT="0" distB="0" distL="0" distR="0">
            <wp:extent cx="127000" cy="76200"/>
            <wp:effectExtent l="0" t="0" r="0" b="0"/>
            <wp:docPr id="100051" name="图片 100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>III</w:t>
      </w:r>
      <w:r>
        <w:rPr>
          <w:rFonts w:ascii="宋体" w:hAnsi="宋体"/>
          <w:color w:val="000000"/>
        </w:rPr>
        <w:t>时段群落中仍有龙须眼子菜，调查其种群密度时，取样面积应比</w:t>
      </w:r>
      <w:r>
        <w:rPr>
          <w:rFonts w:eastAsia="Times New Roman" w:cs="Times New Roman"/>
          <w:color w:val="000000"/>
        </w:rPr>
        <w:t>II</w:t>
      </w:r>
      <w:r>
        <w:rPr>
          <w:rFonts w:ascii="宋体" w:hAnsi="宋体"/>
          <w:color w:val="000000"/>
        </w:rPr>
        <w:t>时段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。</w:t>
      </w:r>
    </w:p>
    <w:p w:rsidR="00C5112A" w14:paraId="7357A87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color w:val="000000"/>
        </w:rPr>
        <w:t>III</w:t>
      </w:r>
      <w:r>
        <w:rPr>
          <w:rFonts w:ascii="宋体" w:hAnsi="宋体"/>
          <w:color w:val="000000"/>
        </w:rPr>
        <w:t>时段对水葫芦进行有效治理，群落物种数和植物类型会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（填“增加”、“减少”或“不变”），其原因是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。</w:t>
      </w:r>
    </w:p>
    <w:p w:rsidR="00C5112A" w14:paraId="04E798AF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/>
          <w:color w:val="000000"/>
        </w:rPr>
        <w:t>科学家发现，光能会被类囊体转化为“某种能量形式”，并用于驱动产生</w:t>
      </w:r>
      <w:r>
        <w:rPr>
          <w:rFonts w:eastAsia="Times New Roman" w:cs="Times New Roman"/>
          <w:color w:val="000000"/>
        </w:rPr>
        <w:t>ATP</w:t>
      </w:r>
      <w:r>
        <w:rPr>
          <w:rFonts w:ascii="宋体" w:hAnsi="宋体"/>
          <w:color w:val="000000"/>
        </w:rPr>
        <w:t>（如图</w:t>
      </w:r>
      <w:r>
        <w:rPr>
          <w:rFonts w:eastAsia="Times New Roman" w:cs="Times New Roman"/>
          <w:color w:val="000000"/>
        </w:rPr>
        <w:t>I</w:t>
      </w:r>
      <w:r>
        <w:rPr>
          <w:rFonts w:ascii="宋体" w:hAnsi="宋体"/>
          <w:color w:val="000000"/>
        </w:rPr>
        <w:t>）。为探寻这种能量形式，他们开展了后续实验。</w:t>
      </w:r>
    </w:p>
    <w:p w:rsidR="00C5112A" w14:paraId="43D919F6" w14:textId="7777777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238750" cy="1491829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491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12A" w14:paraId="7AC5C88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制备类囊体时，提取液中应含有适宜浓度的蔗糖，以保证其结构完整，原因是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；为避免膜蛋白被降解，提取液应保持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（填“低温”或“常温”）。</w:t>
      </w:r>
    </w:p>
    <w:p w:rsidR="00C5112A" w14:paraId="10AB054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在图</w:t>
      </w:r>
      <w:r>
        <w:rPr>
          <w:rFonts w:eastAsia="Times New Roman" w:cs="Times New Roman"/>
          <w:color w:val="000000"/>
        </w:rPr>
        <w:t>I</w:t>
      </w:r>
      <w:r>
        <w:rPr>
          <w:rFonts w:ascii="宋体" w:hAnsi="宋体"/>
          <w:color w:val="000000"/>
        </w:rPr>
        <w:t>实验基础上进行图</w:t>
      </w:r>
      <w:r>
        <w:rPr>
          <w:rFonts w:eastAsia="Times New Roman" w:cs="Times New Roman"/>
          <w:color w:val="000000"/>
        </w:rPr>
        <w:t>II</w:t>
      </w:r>
      <w:r>
        <w:rPr>
          <w:rFonts w:ascii="宋体" w:hAnsi="宋体"/>
          <w:color w:val="000000"/>
        </w:rPr>
        <w:t>实验，发现该实验条件下，也能产生</w:t>
      </w:r>
      <w:r>
        <w:rPr>
          <w:rFonts w:eastAsia="Times New Roman" w:cs="Times New Roman"/>
          <w:color w:val="000000"/>
        </w:rPr>
        <w:t>ATP</w:t>
      </w:r>
      <w:r>
        <w:rPr>
          <w:rFonts w:ascii="宋体" w:hAnsi="宋体"/>
          <w:color w:val="000000"/>
        </w:rPr>
        <w:t>。但该实验不能充分证明“某种能量形式”是类囊体膜内外的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perscript"/>
        </w:rPr>
        <w:t>+</w:t>
      </w:r>
      <w:r>
        <w:rPr>
          <w:rFonts w:ascii="宋体" w:hAnsi="宋体"/>
          <w:color w:val="000000"/>
        </w:rPr>
        <w:t>浓度差，原因是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。</w:t>
      </w:r>
    </w:p>
    <w:p w:rsidR="00C5112A" w14:paraId="0BF5BEE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为探究自然条件下类囊体膜内外产生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perscript"/>
        </w:rPr>
        <w:t>+</w:t>
      </w:r>
      <w:r>
        <w:rPr>
          <w:rFonts w:ascii="宋体" w:hAnsi="宋体"/>
          <w:color w:val="000000"/>
        </w:rPr>
        <w:t>浓度差的原因，对无缓冲液的类囊体悬液进行光、暗交替处理，结果如图</w:t>
      </w:r>
      <w:r>
        <w:rPr>
          <w:rFonts w:eastAsia="Times New Roman" w:cs="Times New Roman"/>
          <w:color w:val="000000"/>
        </w:rPr>
        <w:t>III</w:t>
      </w:r>
      <w:r>
        <w:rPr>
          <w:rFonts w:ascii="宋体" w:hAnsi="宋体"/>
          <w:color w:val="000000"/>
        </w:rPr>
        <w:t>所示，悬液的</w:t>
      </w:r>
      <w:r>
        <w:rPr>
          <w:rFonts w:eastAsia="Times New Roman" w:cs="Times New Roman"/>
          <w:color w:val="000000"/>
        </w:rPr>
        <w:t>pH</w:t>
      </w:r>
      <w:r>
        <w:rPr>
          <w:rFonts w:ascii="宋体" w:hAnsi="宋体"/>
          <w:color w:val="000000"/>
        </w:rPr>
        <w:t>在光照处理时升高，原因是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。类囊体膜内外的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perscript"/>
        </w:rPr>
        <w:t>+</w:t>
      </w:r>
      <w:r>
        <w:rPr>
          <w:rFonts w:ascii="宋体" w:hAnsi="宋体"/>
          <w:color w:val="000000"/>
        </w:rPr>
        <w:t>浓度差是通过光合电子传递和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perscript"/>
        </w:rPr>
        <w:t>+</w:t>
      </w:r>
      <w:r>
        <w:rPr>
          <w:rFonts w:ascii="宋体" w:hAnsi="宋体"/>
          <w:color w:val="000000"/>
        </w:rPr>
        <w:t>转运形成的，电子的最终来源物质是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。</w:t>
      </w:r>
    </w:p>
    <w:p w:rsidR="00C5112A" w14:paraId="6DAA269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用菠菜类囊体和人工酶系统组装的人工叶绿体，能在光下生产目标多碳化合物。若要实现黑暗条件下持续生产，需稳定提供的物质有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。生产中发现即使增加光照强度，产量也不再增加，若要增产，可采取的有效措施有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（答两点）。</w:t>
      </w:r>
    </w:p>
    <w:p w:rsidR="00C5112A" w14:paraId="339689C7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/>
          <w:color w:val="000000"/>
        </w:rPr>
        <w:t>科学家用基因编辑技术由野生型番茄（</w:t>
      </w:r>
      <w:r>
        <w:rPr>
          <w:rFonts w:eastAsia="Times New Roman" w:cs="Times New Roman"/>
          <w:color w:val="000000"/>
        </w:rPr>
        <w:t>HH</w:t>
      </w:r>
      <w:r>
        <w:rPr>
          <w:rFonts w:ascii="宋体" w:hAnsi="宋体"/>
          <w:color w:val="000000"/>
        </w:rPr>
        <w:t>）获得突变体番茄（</w:t>
      </w:r>
      <w:r>
        <w:rPr>
          <w:rFonts w:eastAsia="Times New Roman" w:cs="Times New Roman"/>
          <w:color w:val="000000"/>
        </w:rPr>
        <w:t>hh</w:t>
      </w:r>
      <w:r>
        <w:rPr>
          <w:rFonts w:ascii="宋体" w:hAnsi="宋体"/>
          <w:color w:val="000000"/>
        </w:rPr>
        <w:t>），发现突变体中</w:t>
      </w:r>
      <w:r>
        <w:rPr>
          <w:rFonts w:eastAsia="Times New Roman" w:cs="Times New Roman"/>
          <w:color w:val="000000"/>
        </w:rPr>
        <w:t>DML2</w:t>
      </w:r>
      <w:r>
        <w:rPr>
          <w:rFonts w:ascii="宋体" w:hAnsi="宋体"/>
          <w:color w:val="000000"/>
        </w:rPr>
        <w:t>基因的表达发生改变，进而影响乙烯合成相关基因</w:t>
      </w:r>
      <w:r>
        <w:rPr>
          <w:rFonts w:eastAsia="Times New Roman" w:cs="Times New Roman"/>
          <w:color w:val="000000"/>
        </w:rPr>
        <w:t>ACS2</w:t>
      </w:r>
      <w:r>
        <w:rPr>
          <w:rFonts w:ascii="宋体" w:hAnsi="宋体"/>
          <w:color w:val="000000"/>
        </w:rPr>
        <w:t>等的表达及果实中乙烯含量（如图</w:t>
      </w:r>
      <w:r>
        <w:rPr>
          <w:rFonts w:eastAsia="Times New Roman" w:cs="Times New Roman"/>
          <w:color w:val="000000"/>
        </w:rPr>
        <w:t>I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II</w:t>
      </w:r>
      <w:r>
        <w:rPr>
          <w:rFonts w:ascii="宋体" w:hAnsi="宋体"/>
          <w:color w:val="000000"/>
        </w:rPr>
        <w:t>），导致番茄果实成熟期改变。请回答以下问题：</w:t>
      </w:r>
    </w:p>
    <w:p w:rsidR="00C5112A" w14:paraId="31306FEF" w14:textId="7777777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238750" cy="2508070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5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12A" w14:paraId="2A42F91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图</w:t>
      </w:r>
      <w:r>
        <w:rPr>
          <w:rFonts w:eastAsia="Times New Roman" w:cs="Times New Roman"/>
          <w:color w:val="000000"/>
        </w:rPr>
        <w:t>I</w:t>
      </w:r>
      <w:r>
        <w:rPr>
          <w:rFonts w:ascii="宋体" w:hAnsi="宋体"/>
          <w:color w:val="000000"/>
        </w:rPr>
        <w:t>中，基因</w:t>
      </w:r>
      <w:r>
        <w:rPr>
          <w:rFonts w:eastAsia="Times New Roman" w:cs="Times New Roman"/>
          <w:color w:val="000000"/>
        </w:rPr>
        <w:t>h</w:t>
      </w:r>
      <w:r>
        <w:rPr>
          <w:rFonts w:ascii="宋体" w:hAnsi="宋体"/>
          <w:color w:val="000000"/>
        </w:rPr>
        <w:t>是由基因</w:t>
      </w:r>
      <w:r>
        <w:rPr>
          <w:rFonts w:eastAsia="Times New Roman" w:cs="Times New Roman"/>
          <w:color w:val="000000"/>
        </w:rPr>
        <w:t>H</w:t>
      </w:r>
      <w:r>
        <w:rPr>
          <w:rFonts w:ascii="宋体" w:hAnsi="宋体"/>
          <w:color w:val="000000"/>
        </w:rPr>
        <w:t>编码区第</w:t>
      </w:r>
      <w:r>
        <w:rPr>
          <w:rFonts w:eastAsia="Times New Roman" w:cs="Times New Roman"/>
          <w:color w:val="000000"/>
        </w:rPr>
        <w:t>146</w:t>
      </w:r>
      <w:r>
        <w:rPr>
          <w:rFonts w:ascii="宋体" w:hAnsi="宋体"/>
          <w:color w:val="000000"/>
        </w:rPr>
        <w:t>位碱基后插入一个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（虚线框所示）后突变产生，致使</w:t>
      </w:r>
      <w:r>
        <w:rPr>
          <w:rFonts w:eastAsia="Times New Roman" w:cs="Times New Roman"/>
          <w:color w:val="000000"/>
        </w:rPr>
        <w:t>h</w:t>
      </w:r>
      <w:r>
        <w:rPr>
          <w:rFonts w:ascii="宋体" w:hAnsi="宋体"/>
          <w:color w:val="000000"/>
        </w:rPr>
        <w:t>蛋白比</w:t>
      </w:r>
      <w:r>
        <w:rPr>
          <w:rFonts w:eastAsia="Times New Roman" w:cs="Times New Roman"/>
          <w:color w:val="000000"/>
        </w:rPr>
        <w:t>H</w:t>
      </w:r>
      <w:r>
        <w:rPr>
          <w:rFonts w:ascii="宋体" w:hAnsi="宋体"/>
          <w:color w:val="000000"/>
        </w:rPr>
        <w:t>蛋白少</w:t>
      </w:r>
      <w:r>
        <w:rPr>
          <w:rFonts w:eastAsia="Times New Roman" w:cs="Times New Roman"/>
          <w:color w:val="000000"/>
        </w:rPr>
        <w:t>93</w:t>
      </w:r>
      <w:r>
        <w:rPr>
          <w:rFonts w:ascii="宋体" w:hAnsi="宋体"/>
          <w:color w:val="000000"/>
        </w:rPr>
        <w:t>个氨基酸，其原因是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。基因</w:t>
      </w:r>
      <w:r>
        <w:rPr>
          <w:rFonts w:eastAsia="Times New Roman" w:cs="Times New Roman"/>
          <w:color w:val="000000"/>
        </w:rPr>
        <w:t>h</w:t>
      </w:r>
      <w:r>
        <w:rPr>
          <w:rFonts w:ascii="宋体" w:hAnsi="宋体"/>
          <w:color w:val="000000"/>
        </w:rPr>
        <w:t>转录形成的</w:t>
      </w:r>
      <w:r>
        <w:rPr>
          <w:rFonts w:eastAsia="Times New Roman" w:cs="Times New Roman"/>
          <w:color w:val="000000"/>
        </w:rPr>
        <w:t>mRNA</w:t>
      </w:r>
      <w:r>
        <w:rPr>
          <w:rFonts w:ascii="宋体" w:hAnsi="宋体"/>
          <w:color w:val="000000"/>
        </w:rPr>
        <w:t>上第</w:t>
      </w:r>
      <w:r>
        <w:rPr>
          <w:rFonts w:eastAsia="Times New Roman" w:cs="Times New Roman"/>
          <w:color w:val="000000"/>
        </w:rPr>
        <w:t>49</w:t>
      </w:r>
      <w:r>
        <w:rPr>
          <w:rFonts w:ascii="宋体" w:hAnsi="宋体"/>
          <w:color w:val="000000"/>
        </w:rPr>
        <w:t>个密码子为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。另有研究发现，基因</w:t>
      </w:r>
      <w:r>
        <w:rPr>
          <w:rFonts w:eastAsia="Times New Roman" w:cs="Times New Roman"/>
          <w:color w:val="000000"/>
        </w:rPr>
        <w:t>H</w:t>
      </w:r>
      <w:r>
        <w:rPr>
          <w:rFonts w:ascii="宋体" w:hAnsi="宋体"/>
          <w:color w:val="000000"/>
        </w:rPr>
        <w:t>发生另一突变后，其转录形成的</w:t>
      </w:r>
      <w:r>
        <w:rPr>
          <w:rFonts w:eastAsia="Times New Roman" w:cs="Times New Roman"/>
          <w:color w:val="000000"/>
        </w:rPr>
        <w:t>mRNA</w:t>
      </w:r>
      <w:r>
        <w:rPr>
          <w:rFonts w:ascii="宋体" w:hAnsi="宋体"/>
          <w:color w:val="000000"/>
        </w:rPr>
        <w:t>上有一密码子发生改变，但翻译的多肽链氨基酸序列和数量不变，原因是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。</w:t>
      </w:r>
    </w:p>
    <w:p w:rsidR="00C5112A" w14:paraId="665ADC5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图</w:t>
      </w:r>
      <w:r>
        <w:rPr>
          <w:rFonts w:eastAsia="Times New Roman" w:cs="Times New Roman"/>
          <w:color w:val="000000"/>
        </w:rPr>
        <w:t>II</w:t>
      </w:r>
      <w:r>
        <w:rPr>
          <w:rFonts w:ascii="宋体" w:hAnsi="宋体"/>
          <w:color w:val="000000"/>
        </w:rPr>
        <w:t>中，</w:t>
      </w:r>
      <w:r>
        <w:rPr>
          <w:rFonts w:eastAsia="Times New Roman" w:cs="Times New Roman"/>
          <w:color w:val="000000"/>
        </w:rPr>
        <w:t>t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～</w:t>
      </w:r>
      <w:r>
        <w:rPr>
          <w:rFonts w:eastAsia="Times New Roman" w:cs="Times New Roman"/>
          <w:color w:val="000000"/>
        </w:rPr>
        <w:t>t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时段，突变体番茄中</w:t>
      </w:r>
      <w:r>
        <w:rPr>
          <w:rFonts w:eastAsia="Times New Roman" w:cs="Times New Roman"/>
          <w:color w:val="000000"/>
        </w:rPr>
        <w:t>DML2</w:t>
      </w:r>
      <w:r>
        <w:rPr>
          <w:rFonts w:ascii="宋体" w:hAnsi="宋体"/>
          <w:color w:val="000000"/>
        </w:rPr>
        <w:t>基因转录的</w:t>
      </w:r>
      <w:r>
        <w:rPr>
          <w:rFonts w:eastAsia="Times New Roman" w:cs="Times New Roman"/>
          <w:color w:val="000000"/>
        </w:rPr>
        <w:t>mRNA</w:t>
      </w:r>
      <w:r>
        <w:rPr>
          <w:rFonts w:ascii="宋体" w:hAnsi="宋体"/>
          <w:color w:val="000000"/>
        </w:rPr>
        <w:t>相对量低于野生型，推测在该时间段，</w:t>
      </w:r>
      <w:r>
        <w:rPr>
          <w:rFonts w:eastAsia="Times New Roman" w:cs="Times New Roman"/>
          <w:color w:val="000000"/>
        </w:rPr>
        <w:t>H</w:t>
      </w:r>
      <w:r>
        <w:rPr>
          <w:rFonts w:ascii="宋体" w:hAnsi="宋体"/>
          <w:color w:val="000000"/>
        </w:rPr>
        <w:t>蛋白对</w:t>
      </w:r>
      <w:r>
        <w:rPr>
          <w:rFonts w:eastAsia="Times New Roman" w:cs="Times New Roman"/>
          <w:color w:val="000000"/>
        </w:rPr>
        <w:t>DML2</w:t>
      </w:r>
      <w:r>
        <w:rPr>
          <w:rFonts w:ascii="宋体" w:hAnsi="宋体"/>
          <w:color w:val="000000"/>
        </w:rPr>
        <w:t>基因的作用是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。突变体番茄果实成熟期改变的可能机制为：</w:t>
      </w:r>
      <w:r>
        <w:rPr>
          <w:rFonts w:eastAsia="Times New Roman" w:cs="Times New Roman"/>
          <w:color w:val="000000"/>
        </w:rPr>
        <w:t>H</w:t>
      </w:r>
      <w:r>
        <w:rPr>
          <w:rFonts w:ascii="宋体" w:hAnsi="宋体"/>
          <w:color w:val="000000"/>
        </w:rPr>
        <w:t>突变为</w:t>
      </w:r>
      <w:r>
        <w:rPr>
          <w:rFonts w:eastAsia="Times New Roman" w:cs="Times New Roman"/>
          <w:color w:val="000000"/>
        </w:rPr>
        <w:t>h</w:t>
      </w:r>
      <w:r>
        <w:rPr>
          <w:rFonts w:ascii="宋体" w:hAnsi="宋体"/>
          <w:color w:val="000000"/>
        </w:rPr>
        <w:t>后，由于</w:t>
      </w:r>
      <w:r>
        <w:rPr>
          <w:rFonts w:eastAsia="Times New Roman" w:cs="Times New Roman"/>
          <w:color w:val="000000"/>
        </w:rPr>
        <w:t>DML2</w:t>
      </w:r>
      <w:r>
        <w:rPr>
          <w:rFonts w:ascii="宋体" w:hAnsi="宋体"/>
          <w:color w:val="000000"/>
        </w:rPr>
        <w:t>基因的作用，果实中</w:t>
      </w:r>
      <w:r>
        <w:rPr>
          <w:rFonts w:eastAsia="Times New Roman" w:cs="Times New Roman"/>
          <w:color w:val="000000"/>
        </w:rPr>
        <w:t>ACS2</w:t>
      </w:r>
      <w:r>
        <w:rPr>
          <w:rFonts w:ascii="宋体" w:hAnsi="宋体"/>
          <w:color w:val="000000"/>
        </w:rPr>
        <w:t>基因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，导致果实成熟期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（填“提前”或“延迟”）。</w:t>
      </w:r>
    </w:p>
    <w:p w:rsidR="00C5112A" w14:paraId="46C2FE0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番茄果肉红色（</w:t>
      </w:r>
      <w:r>
        <w:rPr>
          <w:rFonts w:eastAsia="Times New Roman" w:cs="Times New Roman"/>
          <w:color w:val="000000"/>
        </w:rPr>
        <w:t>R</w:t>
      </w:r>
      <w:r>
        <w:rPr>
          <w:rFonts w:ascii="宋体" w:hAnsi="宋体"/>
          <w:color w:val="000000"/>
        </w:rPr>
        <w:t>）对黄色（</w:t>
      </w:r>
      <w:r>
        <w:rPr>
          <w:rFonts w:eastAsia="Times New Roman" w:cs="Times New Roman"/>
          <w:color w:val="000000"/>
        </w:rPr>
        <w:t>r</w:t>
      </w:r>
      <w:r>
        <w:rPr>
          <w:rFonts w:ascii="宋体" w:hAnsi="宋体"/>
          <w:color w:val="000000"/>
        </w:rPr>
        <w:t>）为显性。现用基因型为</w:t>
      </w:r>
      <w:r>
        <w:rPr>
          <w:rFonts w:eastAsia="Times New Roman" w:cs="Times New Roman"/>
          <w:color w:val="000000"/>
        </w:rPr>
        <w:t>RrHH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Rrhh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100055" name="图片 100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番茄杂交，获得果肉为红色、成熟期为突变体性状的纯合体番茄，请写出杂交选育过程（用基因型表示）。</w:t>
      </w:r>
    </w:p>
    <w:p w:rsidR="00C5112A" w14:paraId="4197E38D" w14:textId="77777777">
      <w:pPr>
        <w:spacing w:line="285" w:lineRule="auto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选考题：</w:t>
      </w:r>
      <w:r>
        <w:rPr>
          <w:rFonts w:eastAsia="Times New Roman" w:cs="Times New Roman"/>
          <w:b/>
          <w:color w:val="000000"/>
          <w:sz w:val="24"/>
        </w:rPr>
        <w:t xml:space="preserve"> </w:t>
      </w:r>
    </w:p>
    <w:p w:rsidR="00C5112A" w14:paraId="7B017AFA" w14:textId="77777777">
      <w:pPr>
        <w:spacing w:line="285" w:lineRule="auto"/>
        <w:textAlignment w:val="center"/>
        <w:rPr>
          <w:color w:val="000000"/>
        </w:rPr>
      </w:pPr>
      <w:r>
        <w:rPr>
          <w:rFonts w:eastAsia="Times New Roman" w:cs="Times New Roman"/>
          <w:b/>
          <w:color w:val="000000"/>
          <w:sz w:val="24"/>
        </w:rPr>
        <w:t>[</w:t>
      </w:r>
      <w:r>
        <w:rPr>
          <w:rFonts w:ascii="宋体" w:hAnsi="宋体"/>
          <w:b/>
          <w:color w:val="000000"/>
          <w:sz w:val="24"/>
        </w:rPr>
        <w:t>选修</w:t>
      </w:r>
      <w:r>
        <w:rPr>
          <w:rFonts w:eastAsia="Times New Roman" w:cs="Times New Roman"/>
          <w:b/>
          <w:color w:val="000000"/>
          <w:sz w:val="24"/>
        </w:rPr>
        <w:t>1</w:t>
      </w:r>
      <w:r>
        <w:rPr>
          <w:rFonts w:ascii="宋体" w:hAnsi="宋体"/>
          <w:b/>
          <w:color w:val="000000"/>
          <w:sz w:val="24"/>
        </w:rPr>
        <w:t>：生物技术实践</w:t>
      </w:r>
      <w:r>
        <w:rPr>
          <w:rFonts w:eastAsia="Times New Roman" w:cs="Times New Roman"/>
          <w:b/>
          <w:color w:val="000000"/>
          <w:sz w:val="24"/>
        </w:rPr>
        <w:t>]</w:t>
      </w:r>
      <w:r>
        <w:rPr>
          <w:rFonts w:ascii="宋体" w:hAnsi="宋体"/>
          <w:b/>
          <w:color w:val="000000"/>
          <w:sz w:val="24"/>
        </w:rPr>
        <w:t>（新高考为选择性必修三：生物技术与工程）</w:t>
      </w:r>
    </w:p>
    <w:p w:rsidR="00C5112A" w14:paraId="02D7B219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hAnsi="宋体"/>
          <w:color w:val="000000"/>
        </w:rPr>
        <w:t>研究发现柑橘精油可抑制大肠杆菌的生长。某兴趣小组采用水蒸气蒸馏法和压榨法提取了某种橘皮的精油（分别简称为</w:t>
      </w:r>
      <w:r>
        <w:rPr>
          <w:rFonts w:eastAsia="Times New Roman" w:cs="Times New Roman"/>
          <w:color w:val="000000"/>
        </w:rPr>
        <w:t>HDO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CPO</w:t>
      </w:r>
      <w:r>
        <w:rPr>
          <w:rFonts w:ascii="宋体" w:hAnsi="宋体"/>
          <w:color w:val="000000"/>
        </w:rPr>
        <w:t>），并研究其抑菌效果的差异。</w:t>
      </w:r>
    </w:p>
    <w:p w:rsidR="00C5112A" w14:paraId="27D8248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为便于精油的提取，压榨前需用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浸泡橘皮一段时间。在两种方法收集的油水混合物中均加入</w:t>
      </w:r>
      <w:r>
        <w:rPr>
          <w:rFonts w:eastAsia="Times New Roman" w:cs="Times New Roman"/>
          <w:color w:val="000000"/>
        </w:rPr>
        <w:t>NaCl</w:t>
      </w:r>
      <w:r>
        <w:rPr>
          <w:rFonts w:ascii="宋体" w:hAnsi="宋体"/>
          <w:color w:val="000000"/>
        </w:rPr>
        <w:t>，其作用是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；为除去油层中的水分，需加入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。</w:t>
      </w:r>
    </w:p>
    <w:p w:rsidR="00C5112A" w14:paraId="29FD1DE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无菌条件下，该小组制备了两个大肠杆菌平板，用两片大小相同的无菌滤纸分别蘸取</w:t>
      </w:r>
      <w:r>
        <w:rPr>
          <w:rFonts w:eastAsia="Times New Roman" w:cs="Times New Roman"/>
          <w:color w:val="000000"/>
        </w:rPr>
        <w:t>HDO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CPO</w:t>
      </w:r>
      <w:r>
        <w:rPr>
          <w:rFonts w:ascii="宋体" w:hAnsi="宋体"/>
          <w:color w:val="000000"/>
        </w:rPr>
        <w:t>贴于含菌平板上，</w:t>
      </w:r>
      <w:r>
        <w:rPr>
          <w:rFonts w:eastAsia="Times New Roman" w:cs="Times New Roman"/>
          <w:color w:val="000000"/>
        </w:rPr>
        <w:t>37</w:t>
      </w:r>
      <w:r>
        <w:rPr>
          <w:rFonts w:ascii="宋体" w:hAnsi="宋体"/>
          <w:color w:val="000000"/>
        </w:rPr>
        <w:t>℃培养</w:t>
      </w:r>
      <w:r>
        <w:rPr>
          <w:rFonts w:eastAsia="Times New Roman" w:cs="Times New Roman"/>
          <w:color w:val="000000"/>
        </w:rPr>
        <w:t>24h</w:t>
      </w:r>
      <w:r>
        <w:rPr>
          <w:rFonts w:ascii="宋体" w:hAnsi="宋体"/>
          <w:color w:val="000000"/>
        </w:rPr>
        <w:t>，抑菌效果见如图。有同学提出该实验存在明显不足：①未设置对照，设置本实验对照的做法是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，其作用是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；②不足之处还有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（答两点）。</w:t>
      </w:r>
    </w:p>
    <w:p w:rsidR="00C5112A" w14:paraId="6E717B9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若</w:t>
      </w:r>
      <w:r>
        <w:rPr>
          <w:rFonts w:eastAsia="Times New Roman" w:cs="Times New Roman"/>
          <w:color w:val="000000"/>
        </w:rPr>
        <w:t>HDO</w:t>
      </w:r>
      <w:r>
        <w:rPr>
          <w:rFonts w:ascii="宋体" w:hAnsi="宋体"/>
          <w:color w:val="000000"/>
        </w:rPr>
        <w:t>的抑菌效果低于</w:t>
      </w:r>
      <w:r>
        <w:rPr>
          <w:rFonts w:eastAsia="Times New Roman" w:cs="Times New Roman"/>
          <w:color w:val="000000"/>
        </w:rPr>
        <w:t>CPO</w:t>
      </w:r>
      <w:r>
        <w:rPr>
          <w:rFonts w:ascii="宋体" w:hAnsi="宋体"/>
          <w:color w:val="000000"/>
        </w:rPr>
        <w:t>，从提取方法的角度分析，主要原因是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。</w:t>
      </w:r>
    </w:p>
    <w:p w:rsidR="00C5112A" w14:paraId="129E3030" w14:textId="7777777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638425" cy="2647950"/>
            <wp:effectExtent l="0" t="0" r="0" b="0"/>
            <wp:docPr id="100041" name="图片 10004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12A" w14:paraId="59AB5211" w14:textId="77777777">
      <w:pPr>
        <w:spacing w:line="285" w:lineRule="auto"/>
        <w:textAlignment w:val="center"/>
        <w:rPr>
          <w:color w:val="000000"/>
        </w:rPr>
      </w:pPr>
      <w:r>
        <w:rPr>
          <w:rFonts w:eastAsia="Times New Roman" w:cs="Times New Roman"/>
          <w:b/>
          <w:color w:val="000000"/>
          <w:sz w:val="24"/>
        </w:rPr>
        <w:t>[</w:t>
      </w:r>
      <w:r>
        <w:rPr>
          <w:rFonts w:ascii="宋体" w:hAnsi="宋体"/>
          <w:b/>
          <w:color w:val="000000"/>
          <w:sz w:val="24"/>
        </w:rPr>
        <w:t>选修</w:t>
      </w:r>
      <w:r>
        <w:rPr>
          <w:rFonts w:eastAsia="Times New Roman" w:cs="Times New Roman"/>
          <w:b/>
          <w:color w:val="000000"/>
          <w:sz w:val="24"/>
        </w:rPr>
        <w:t>3</w:t>
      </w:r>
      <w:r>
        <w:rPr>
          <w:rFonts w:ascii="宋体" w:hAnsi="宋体"/>
          <w:b/>
          <w:color w:val="000000"/>
          <w:sz w:val="24"/>
        </w:rPr>
        <w:t>：现代生物科技专题</w:t>
      </w:r>
      <w:r>
        <w:rPr>
          <w:rFonts w:eastAsia="Times New Roman" w:cs="Times New Roman"/>
          <w:b/>
          <w:color w:val="000000"/>
          <w:sz w:val="24"/>
        </w:rPr>
        <w:t>]</w:t>
      </w:r>
      <w:r>
        <w:rPr>
          <w:rFonts w:ascii="宋体" w:hAnsi="宋体"/>
          <w:b/>
          <w:color w:val="000000"/>
          <w:sz w:val="24"/>
        </w:rPr>
        <w:t>（新高考为选择性必修三：生物技术与工程）</w:t>
      </w:r>
    </w:p>
    <w:p w:rsidR="00C5112A" w14:paraId="1C782B99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26. </w:t>
      </w:r>
      <w:r>
        <w:rPr>
          <w:rFonts w:ascii="宋体" w:hAnsi="宋体"/>
          <w:color w:val="000000"/>
        </w:rPr>
        <w:t>改良水稻的株高和产量性状是实现袁隆平先生“禾下乘凉梦”的一种可能途径。研究人员克隆了可显著增高和增产的</w:t>
      </w:r>
      <w:r>
        <w:rPr>
          <w:rFonts w:eastAsia="Times New Roman" w:cs="Times New Roman"/>
          <w:color w:val="000000"/>
        </w:rPr>
        <w:t>eui</w:t>
      </w:r>
      <w:r>
        <w:rPr>
          <w:rFonts w:ascii="宋体" w:hAnsi="宋体"/>
          <w:color w:val="000000"/>
        </w:rPr>
        <w:t>基因，并开展了相关探索。</w:t>
      </w:r>
    </w:p>
    <w:p w:rsidR="00C5112A" w14:paraId="492D42C1" w14:textId="7777777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步骤</w:t>
      </w:r>
      <w:r>
        <w:rPr>
          <w:rFonts w:eastAsia="Times New Roman" w:cs="Times New Roman"/>
          <w:color w:val="000000"/>
        </w:rPr>
        <w:t>I</w:t>
      </w:r>
      <w:r>
        <w:rPr>
          <w:rFonts w:ascii="宋体" w:hAnsi="宋体"/>
          <w:color w:val="000000"/>
        </w:rPr>
        <w:t>：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4505325" cy="704850"/>
            <wp:effectExtent l="0" t="0" r="0" b="0"/>
            <wp:docPr id="100043" name="图片 10004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12A" w14:paraId="6866CC77" w14:textId="7777777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步骤</w:t>
      </w:r>
      <w:r>
        <w:rPr>
          <w:rFonts w:eastAsia="Times New Roman" w:cs="Times New Roman"/>
          <w:color w:val="000000"/>
        </w:rPr>
        <w:t>II</w:t>
      </w:r>
      <w:r>
        <w:rPr>
          <w:rFonts w:ascii="宋体" w:hAnsi="宋体"/>
          <w:color w:val="000000"/>
        </w:rPr>
        <w:t>：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4105275" cy="504825"/>
            <wp:effectExtent l="0" t="0" r="0" b="0"/>
            <wp:docPr id="100045" name="图片 10004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12A" w14:paraId="4ABECFB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花药培养能缩短育种年限，原因是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。在步骤</w:t>
      </w:r>
      <w:r>
        <w:rPr>
          <w:rFonts w:eastAsia="Times New Roman" w:cs="Times New Roman"/>
          <w:color w:val="000000"/>
        </w:rPr>
        <w:t>I</w:t>
      </w:r>
      <w:r>
        <w:rPr>
          <w:rFonts w:ascii="宋体" w:hAnsi="宋体"/>
          <w:color w:val="000000"/>
        </w:rPr>
        <w:t>的花药培养过程中，可产生单倍体愈伤组织，将其培养于含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的培养基上，可促进产生二倍体愈伤组织。</w:t>
      </w:r>
      <w:r>
        <w:rPr>
          <w:rFonts w:eastAsia="Times New Roman" w:cs="Times New Roman"/>
          <w:color w:val="000000"/>
        </w:rPr>
        <w:t>I</w:t>
      </w:r>
      <w:r>
        <w:rPr>
          <w:rFonts w:ascii="宋体" w:hAnsi="宋体"/>
          <w:color w:val="000000"/>
        </w:rPr>
        <w:t>中能用于制造人工种子的材料是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。</w:t>
      </w:r>
    </w:p>
    <w:p w:rsidR="00C5112A" w14:paraId="15337B32" w14:textId="77777777">
      <w:pPr>
        <w:spacing w:line="360" w:lineRule="auto"/>
        <w:jc w:val="left"/>
        <w:textAlignment w:val="center"/>
        <w:rPr>
          <w:color w:val="000000"/>
        </w:rPr>
        <w:sectPr w:rsidSect="00C321EB">
          <w:footerReference w:type="default" r:id="rId32"/>
          <w:pgSz w:w="11906" w:h="16838"/>
          <w:pgMar w:top="910" w:right="1080" w:bottom="1440" w:left="1080" w:header="152" w:footer="0" w:gutter="0"/>
          <w:cols w:space="720"/>
          <w:titlePg w:val="0"/>
          <w:docGrid w:type="lines" w:linePitch="312"/>
        </w:sect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步骤</w:t>
      </w:r>
      <w:r>
        <w:rPr>
          <w:rFonts w:eastAsia="Times New Roman" w:cs="Times New Roman"/>
          <w:color w:val="000000"/>
        </w:rPr>
        <w:t>II</w:t>
      </w:r>
      <w:r>
        <w:rPr>
          <w:rFonts w:ascii="宋体" w:hAnsi="宋体"/>
          <w:color w:val="000000"/>
        </w:rPr>
        <w:t>中，</w:t>
      </w:r>
      <w:r>
        <w:rPr>
          <w:rFonts w:eastAsia="Times New Roman" w:cs="Times New Roman"/>
          <w:color w:val="000000"/>
        </w:rPr>
        <w:t>eui</w:t>
      </w:r>
      <w:r>
        <w:rPr>
          <w:rFonts w:ascii="宋体" w:hAnsi="宋体"/>
          <w:color w:val="000000"/>
        </w:rPr>
        <w:t>基因克隆于</w:t>
      </w:r>
      <w:r>
        <w:rPr>
          <w:rFonts w:eastAsia="Times New Roman" w:cs="Times New Roman"/>
          <w:color w:val="000000"/>
        </w:rPr>
        <w:t>cDNA</w:t>
      </w:r>
      <w:r>
        <w:rPr>
          <w:rFonts w:ascii="宋体" w:hAnsi="宋体"/>
          <w:color w:val="000000"/>
        </w:rPr>
        <w:t>文库而不是基因组文库，原因是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；在构建重组</w:t>
      </w:r>
      <w:r>
        <w:rPr>
          <w:rFonts w:eastAsia="Times New Roman" w:cs="Times New Roman"/>
          <w:color w:val="000000"/>
        </w:rPr>
        <w:t>Ti</w:t>
      </w:r>
      <w:r>
        <w:rPr>
          <w:rFonts w:ascii="宋体" w:hAnsi="宋体"/>
          <w:color w:val="000000"/>
        </w:rPr>
        <w:t>质粒时使用的工具酶有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。为筛选含重组</w:t>
      </w:r>
      <w:r>
        <w:rPr>
          <w:rFonts w:eastAsia="Times New Roman" w:cs="Times New Roman"/>
          <w:color w:val="000000"/>
        </w:rPr>
        <w:t>Ti</w:t>
      </w:r>
      <w:r>
        <w:rPr>
          <w:rFonts w:ascii="宋体" w:hAnsi="宋体"/>
          <w:color w:val="000000"/>
        </w:rPr>
        <w:t>质粒的菌株，需在培养基中添加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。获得的农杆菌菌株经鉴定后，应侵染</w:t>
      </w:r>
      <w:r>
        <w:rPr>
          <w:rFonts w:eastAsia="Times New Roman" w:cs="Times New Roman"/>
          <w:color w:val="000000"/>
        </w:rPr>
        <w:t>I</w:t>
      </w:r>
      <w:r>
        <w:rPr>
          <w:rFonts w:ascii="宋体" w:hAnsi="宋体"/>
          <w:color w:val="000000"/>
        </w:rPr>
        <w:t>中的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，以获得转基因再生植株。再生植株是否含有</w:t>
      </w:r>
      <w:r>
        <w:rPr>
          <w:rFonts w:eastAsia="Times New Roman" w:cs="Times New Roman"/>
          <w:color w:val="000000"/>
        </w:rPr>
        <w:t>eui</w:t>
      </w:r>
      <w:r>
        <w:rPr>
          <w:rFonts w:ascii="宋体" w:hAnsi="宋体"/>
          <w:color w:val="000000"/>
        </w:rPr>
        <w:t>基因的鉴定方法是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，移栽后若发育为更高且丰产的稻株，则可望“禾下乘凉”。</w:t>
      </w:r>
    </w:p>
    <w:p w:rsidR="00C5112A" w14:paraId="7309ED3A" w14:textId="4D3CEBD2"/>
    <w:sectPr>
      <w:footerReference w:type="default" r:id="rId33"/>
      <w:pgSz w:w="11906" w:h="16838"/>
      <w:pgMar w:top="1440" w:right="1800" w:bottom="1440" w:left="1800" w:header="708" w:footer="708" w:gutter="0"/>
      <w:cols w:space="708"/>
      <w:titlePg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708073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A7EB2"/>
    <w:rsid w:val="000E3B1C"/>
    <w:rsid w:val="000E4D02"/>
    <w:rsid w:val="00171458"/>
    <w:rsid w:val="00173C1D"/>
    <w:rsid w:val="001764C3"/>
    <w:rsid w:val="0018010E"/>
    <w:rsid w:val="00191C29"/>
    <w:rsid w:val="001A464C"/>
    <w:rsid w:val="001C63DA"/>
    <w:rsid w:val="001D4563"/>
    <w:rsid w:val="00201A7E"/>
    <w:rsid w:val="002146DF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A2F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5112A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7A76CF44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wmf" /><Relationship Id="rId26" Type="http://schemas.openxmlformats.org/officeDocument/2006/relationships/image" Target="media/image22.png" /><Relationship Id="rId27" Type="http://schemas.openxmlformats.org/officeDocument/2006/relationships/image" Target="media/image23.png" /><Relationship Id="rId28" Type="http://schemas.openxmlformats.org/officeDocument/2006/relationships/image" Target="media/image24.wmf" /><Relationship Id="rId29" Type="http://schemas.openxmlformats.org/officeDocument/2006/relationships/image" Target="media/image25.png" /><Relationship Id="rId3" Type="http://schemas.openxmlformats.org/officeDocument/2006/relationships/fontTable" Target="fontTable.xml" /><Relationship Id="rId30" Type="http://schemas.openxmlformats.org/officeDocument/2006/relationships/image" Target="media/image26.png" /><Relationship Id="rId31" Type="http://schemas.openxmlformats.org/officeDocument/2006/relationships/image" Target="media/image27.png" /><Relationship Id="rId32" Type="http://schemas.openxmlformats.org/officeDocument/2006/relationships/footer" Target="footer1.xml" /><Relationship Id="rId33" Type="http://schemas.openxmlformats.org/officeDocument/2006/relationships/footer" Target="footer2.xml" /><Relationship Id="rId34" Type="http://schemas.openxmlformats.org/officeDocument/2006/relationships/theme" Target="theme/theme1.xml" /><Relationship Id="rId35" Type="http://schemas.openxmlformats.org/officeDocument/2006/relationships/numbering" Target="numbering.xml" /><Relationship Id="rId36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wmf" /><Relationship Id="rId8" Type="http://schemas.openxmlformats.org/officeDocument/2006/relationships/image" Target="media/image4.wmf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