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4.1.0 -->
  <w:body>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360" w:lineRule="auto"/>
        <w:ind w:left="0" w:right="0"/>
        <w:jc w:val="center"/>
        <w:rPr>
          <w:rFonts w:asciiTheme="majorEastAsia" w:eastAsiaTheme="majorEastAsia" w:hAnsiTheme="majorEastAsia" w:cstheme="majorEastAsia" w:hint="eastAsia"/>
          <w:sz w:val="30"/>
          <w:szCs w:val="30"/>
        </w:rPr>
      </w:pPr>
      <w:r>
        <w:rPr>
          <w:rStyle w:val="Strong"/>
          <w:rFonts w:asciiTheme="majorEastAsia" w:eastAsiaTheme="majorEastAsia" w:hAnsiTheme="majorEastAsia" w:cstheme="majorEastAsia" w:hint="eastAsia"/>
          <w:color w:val="000000"/>
          <w:sz w:val="30"/>
          <w:szCs w:val="30"/>
        </w:rPr>
        <w:t>2023年辽宁省普通高等学校招生选择性考试</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360" w:lineRule="auto"/>
        <w:ind w:left="0" w:right="0"/>
        <w:jc w:val="center"/>
        <w:rPr>
          <w:rStyle w:val="Strong"/>
          <w:rFonts w:asciiTheme="majorEastAsia" w:eastAsiaTheme="majorEastAsia" w:hAnsiTheme="majorEastAsia" w:cstheme="majorEastAsia" w:hint="eastAsia"/>
          <w:color w:val="000000"/>
          <w:sz w:val="30"/>
          <w:szCs w:val="30"/>
        </w:rPr>
      </w:pPr>
      <w:r>
        <w:rPr>
          <w:rStyle w:val="Strong"/>
          <w:rFonts w:asciiTheme="majorEastAsia" w:eastAsiaTheme="majorEastAsia" w:hAnsiTheme="majorEastAsia" w:cstheme="majorEastAsia" w:hint="eastAsia"/>
          <w:color w:val="000000"/>
          <w:sz w:val="30"/>
          <w:szCs w:val="30"/>
        </w:rPr>
        <w:t>生物学</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Style w:val="Strong"/>
          <w:rFonts w:ascii="Helvetica" w:eastAsia="Helvetica" w:hAnsi="Helvetica" w:cs="Helvetica"/>
          <w:color w:val="000000"/>
          <w:sz w:val="24"/>
          <w:szCs w:val="24"/>
        </w:rPr>
        <w:t>一、选择题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1. 科学家根据对部分植物细胞观察的结果，得出“植物细胞都有细胞核”的结论。下列叙述错误的是（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A. 早期的细胞研究主要运用了观察法</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B. 上述结论的得出运用了归纳法</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C. 运用假说—演绎法将上述结论推演至原核细胞也成立</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D. 利用同位素标记法可研究细胞核内的物质变化</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2. 葡萄与爬山虎均是葡萄科常见植物，将二倍体爬山虎的花粉涂在未受粉的二倍体葡萄柱头上，可获得无子葡萄。下列叙述正确的是（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A. 爬山虎和葡萄之间存在生殖隔离</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B. 爬山虎花粉引起葡萄果实发生了基因突变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C. 无子葡萄经无性繁殖产生的植株仍结无子果实</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D. 无子葡萄的果肉细胞含一个染色体组</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3. 下面是兴奋在神经元之间传递过程的示意图，图中①～④错误的是（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360" w:lineRule="auto"/>
        <w:ind w:left="0" w:right="0"/>
        <w:jc w:val="left"/>
        <w:rPr>
          <w:rFonts w:ascii="宋体" w:eastAsia="宋体" w:hAnsi="宋体" w:cs="宋体"/>
          <w:sz w:val="24"/>
          <w:szCs w:val="24"/>
        </w:rPr>
      </w:pPr>
      <w:r>
        <w:rPr>
          <w:rFonts w:ascii="宋体" w:eastAsia="宋体" w:hAnsi="宋体" w:cs="宋体"/>
          <w:sz w:val="24"/>
          <w:szCs w:val="24"/>
        </w:rPr>
        <w:drawing>
          <wp:inline distT="0" distB="0" distL="114300" distR="114300">
            <wp:extent cx="5133975" cy="2286000"/>
            <wp:effectExtent l="0" t="0" r="9525" b="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xmlns:r="http://schemas.openxmlformats.org/officeDocument/2006/relationships" r:embed="rId5"/>
                    <a:stretch>
                      <a:fillRect/>
                    </a:stretch>
                  </pic:blipFill>
                  <pic:spPr>
                    <a:xfrm>
                      <a:off x="0" y="0"/>
                      <a:ext cx="5133975" cy="2286000"/>
                    </a:xfrm>
                    <a:prstGeom prst="rect">
                      <a:avLst/>
                    </a:prstGeom>
                    <a:noFill/>
                    <a:ln w="9525">
                      <a:noFill/>
                    </a:ln>
                  </pic:spPr>
                </pic:pic>
              </a:graphicData>
            </a:graphic>
          </wp:inline>
        </w:drawing>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eastAsia"/>
          <w:color w:val="000000"/>
        </w:rPr>
      </w:pPr>
      <w:r>
        <w:rPr>
          <w:rFonts w:ascii="Helvetica" w:eastAsia="Helvetica" w:hAnsi="Helvetica" w:cs="Helvetica" w:hint="default"/>
          <w:color w:val="000000"/>
        </w:rPr>
        <w:t>A. ①       B. ②       C. ③       D. ④</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4. 血脑屏障的生物膜体系在控制物质运输方式上与细胞膜类似。下表中相关物质不可能存在的运输方式是（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pPr>
      <w:r>
        <w:drawing>
          <wp:inline distT="0" distB="0" distL="114300" distR="114300">
            <wp:extent cx="6188710" cy="2074545"/>
            <wp:effectExtent l="0" t="0" r="2540"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6"/>
                    <a:stretch>
                      <a:fillRect/>
                    </a:stretch>
                  </pic:blipFill>
                  <pic:spPr>
                    <a:xfrm>
                      <a:off x="0" y="0"/>
                      <a:ext cx="6188710" cy="2074545"/>
                    </a:xfrm>
                    <a:prstGeom prst="rect">
                      <a:avLst/>
                    </a:prstGeom>
                    <a:noFill/>
                    <a:ln>
                      <a:noFill/>
                    </a:ln>
                  </pic:spPr>
                </pic:pic>
              </a:graphicData>
            </a:graphic>
          </wp:inline>
        </w:drawing>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A</w:t>
      </w:r>
      <w:r>
        <w:rPr>
          <w:rFonts w:ascii="Helvetica" w:eastAsia="Helvetica" w:hAnsi="Helvetica" w:cs="Helvetica" w:hint="default"/>
          <w:color w:val="000000"/>
        </w:rPr>
        <w:drawing>
          <wp:inline distT="0" distB="0" distL="114300" distR="114300">
            <wp:extent cx="28575" cy="85725"/>
            <wp:effectExtent l="0" t="0" r="0" b="0"/>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xmlns:r="http://schemas.openxmlformats.org/officeDocument/2006/relationships" r:embed="rId7"/>
                    <a:stretch>
                      <a:fillRect/>
                    </a:stretch>
                  </pic:blipFill>
                  <pic:spPr>
                    <a:xfrm>
                      <a:off x="0" y="0"/>
                      <a:ext cx="28575" cy="85725"/>
                    </a:xfrm>
                    <a:prstGeom prst="rect">
                      <a:avLst/>
                    </a:prstGeom>
                    <a:noFill/>
                    <a:ln w="9525">
                      <a:noFill/>
                    </a:ln>
                  </pic:spPr>
                </pic:pic>
              </a:graphicData>
            </a:graphic>
          </wp:inline>
        </w:drawing>
      </w:r>
      <w:r>
        <w:rPr>
          <w:rFonts w:ascii="Helvetica" w:eastAsia="Helvetica" w:hAnsi="Helvetica" w:cs="Helvetica" w:hint="default"/>
          <w:color w:val="000000"/>
        </w:rPr>
        <w:t> </w:t>
      </w:r>
      <w:r>
        <w:rPr>
          <w:rFonts w:ascii="Helvetica" w:eastAsia="Helvetica" w:hAnsi="Helvetica" w:cs="Helvetica" w:hint="eastAsia"/>
          <w:color w:val="000000"/>
          <w:lang w:val="en-US" w:eastAsia="zh-CN"/>
        </w:rPr>
        <w:t>.</w:t>
      </w:r>
      <w:r>
        <w:rPr>
          <w:rFonts w:ascii="Helvetica" w:eastAsia="Helvetica" w:hAnsi="Helvetica" w:cs="Helvetica" w:hint="default"/>
          <w:color w:val="000000"/>
        </w:rPr>
        <w:t>A       B. B       C. C       D. 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5. 人工防护林具有防风、固沙及保护农田等作用，对维护区域生态系统稳定具有重要意义。下列叙述正确的是（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A. 防护林通过自组织、自我调节可实现自身结构与功能的协调</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B. 防护林建设应选择本地种，遵循了生态工程的循环原理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C. 防护林建成后，若失去人类的维护将会发生初生演替</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D. 防护林的防风、固沙及保护农田的作用体现了生物多样性的直接价值</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6. 某些微生物与昆虫构建了互利共生的关系，共生微生物参与昆虫的生命活动并促进其生态功能的发挥。下列叙述错误的是（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A. 昆虫为共生微生物提供了相对稳定</w:t>
      </w:r>
      <w:r>
        <w:rPr>
          <w:rFonts w:ascii="Helvetica" w:eastAsia="Helvetica" w:hAnsi="Helvetica" w:cs="Helvetica" w:hint="default"/>
          <w:color w:val="000000"/>
        </w:rPr>
        <w:drawing>
          <wp:inline distT="0" distB="0" distL="114300" distR="114300">
            <wp:extent cx="133350" cy="180975"/>
            <wp:effectExtent l="0" t="0" r="0" b="0"/>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xmlns:r="http://schemas.openxmlformats.org/officeDocument/2006/relationships" r:embed="rId8"/>
                    <a:stretch>
                      <a:fillRect/>
                    </a:stretch>
                  </pic:blipFill>
                  <pic:spPr>
                    <a:xfrm>
                      <a:off x="0" y="0"/>
                      <a:ext cx="133350" cy="180975"/>
                    </a:xfrm>
                    <a:prstGeom prst="rect">
                      <a:avLst/>
                    </a:prstGeom>
                    <a:noFill/>
                    <a:ln w="9525">
                      <a:noFill/>
                    </a:ln>
                  </pic:spPr>
                </pic:pic>
              </a:graphicData>
            </a:graphic>
          </wp:inline>
        </w:drawing>
      </w:r>
      <w:r>
        <w:rPr>
          <w:rFonts w:ascii="Helvetica" w:eastAsia="Helvetica" w:hAnsi="Helvetica" w:cs="Helvetica" w:hint="default"/>
          <w:color w:val="000000"/>
        </w:rPr>
        <w:t>生存环境</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B. 与昆虫共生的微生物降低了昆虫的免疫力</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C. 不同生境中同种昆虫的共生微生物可能不同</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D. 昆虫与微生物共生的关系是长期协同进化的结果</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color w:val="000000"/>
        </w:rPr>
        <w:t>7. 大量悬浮培养产流感病毒的单克隆细胞，可用于流感疫苗的生产。下列叙述错误的是（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A. 悬浮培养单克隆细胞可有效避免接触抑制</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B. 用于培养单克隆细胞的培养基通常需加血清</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C. 当病毒达到一定数量时会影响细胞的增殖</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D. 培养基pH不会影响单克隆细胞</w:t>
      </w:r>
      <w:r>
        <w:rPr>
          <w:rFonts w:ascii="Helvetica" w:eastAsia="Helvetica" w:hAnsi="Helvetica" w:cs="Helvetica" w:hint="default"/>
          <w:color w:val="000000"/>
        </w:rPr>
        <w:drawing>
          <wp:inline distT="0" distB="0" distL="114300" distR="114300">
            <wp:extent cx="133350" cy="180975"/>
            <wp:effectExtent l="0" t="0" r="0" b="0"/>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xmlns:r="http://schemas.openxmlformats.org/officeDocument/2006/relationships" r:embed="rId8"/>
                    <a:stretch>
                      <a:fillRect/>
                    </a:stretch>
                  </pic:blipFill>
                  <pic:spPr>
                    <a:xfrm>
                      <a:off x="0" y="0"/>
                      <a:ext cx="133350" cy="180975"/>
                    </a:xfrm>
                    <a:prstGeom prst="rect">
                      <a:avLst/>
                    </a:prstGeom>
                    <a:noFill/>
                    <a:ln w="9525">
                      <a:noFill/>
                    </a:ln>
                  </pic:spPr>
                </pic:pic>
              </a:graphicData>
            </a:graphic>
          </wp:inline>
        </w:drawing>
      </w:r>
      <w:r>
        <w:rPr>
          <w:rFonts w:ascii="Helvetica" w:eastAsia="Helvetica" w:hAnsi="Helvetica" w:cs="Helvetica" w:hint="default"/>
          <w:color w:val="000000"/>
        </w:rPr>
        <w:t>病毒产量</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8. CD163蛋白是PRRSV病毒感染家畜的受体。为实时监控CD163蛋白的表达和转运过程，将红色荧光蛋白RFP基因与CD163基因拼接在一起（如下图），使其表达成一条多肽。该拼接过程的关键步骤是除去（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i w:val="0"/>
          <w:iCs w:val="0"/>
          <w:caps w:val="0"/>
          <w:color w:val="000000"/>
          <w:spacing w:val="9"/>
          <w:sz w:val="21"/>
          <w:szCs w:val="21"/>
          <w:shd w:val="clear" w:color="auto" w:fill="FFFFFF"/>
        </w:rPr>
      </w:pPr>
      <w:r>
        <w:rPr>
          <w:rFonts w:ascii="Helvetica" w:eastAsia="Helvetica" w:hAnsi="Helvetica" w:cs="Helvetica"/>
          <w:i w:val="0"/>
          <w:iCs w:val="0"/>
          <w:caps w:val="0"/>
          <w:color w:val="000000"/>
          <w:spacing w:val="9"/>
          <w:sz w:val="21"/>
          <w:szCs w:val="21"/>
          <w:shd w:val="clear" w:color="auto" w:fill="FFFFFF"/>
        </w:rPr>
        <w:drawing>
          <wp:inline distT="0" distB="0" distL="114300" distR="114300">
            <wp:extent cx="4143375" cy="619125"/>
            <wp:effectExtent l="0" t="0" r="9525" b="9525"/>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xmlns:r="http://schemas.openxmlformats.org/officeDocument/2006/relationships" r:embed="rId9"/>
                    <a:stretch>
                      <a:fillRect/>
                    </a:stretch>
                  </pic:blipFill>
                  <pic:spPr>
                    <a:xfrm>
                      <a:off x="0" y="0"/>
                      <a:ext cx="4143375" cy="619125"/>
                    </a:xfrm>
                    <a:prstGeom prst="rect">
                      <a:avLst/>
                    </a:prstGeom>
                    <a:noFill/>
                    <a:ln w="9525">
                      <a:noFill/>
                    </a:ln>
                  </pic:spPr>
                </pic:pic>
              </a:graphicData>
            </a:graphic>
          </wp:inline>
        </w:drawing>
      </w:r>
      <w:r>
        <w:rPr>
          <w:rFonts w:ascii="Helvetica" w:eastAsia="Helvetica" w:hAnsi="Helvetica" w:cs="Helvetica" w:hint="default"/>
          <w:i w:val="0"/>
          <w:iCs w:val="0"/>
          <w:caps w:val="0"/>
          <w:color w:val="000000"/>
          <w:spacing w:val="9"/>
          <w:sz w:val="21"/>
          <w:szCs w:val="21"/>
          <w:shd w:val="clear" w:color="auto" w:fill="FFFFFF"/>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A. CD163基因中编码起始密码子的序列</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B. CD163基因中编码终止密码子的序列</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C. RFP基因中编码起始密码子的序列</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r>
        <w:rPr>
          <w:rFonts w:ascii="Helvetica" w:eastAsia="Helvetica" w:hAnsi="Helvetica" w:cs="Helvetica" w:hint="default"/>
          <w:color w:val="000000"/>
        </w:rPr>
        <w:t>D. RFP基因中编码终止密码子的序列</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color w:val="000000"/>
        </w:rPr>
        <w:t>9. 细菌气溶胶是由悬浮于大气或附着于颗粒物表面的细菌形成的。利用空气微生物采样器对某市人员密集型公共场所采样并检测细菌气溶胶的浓度（菌落数/m³）。下列叙述错误的是（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A. 采样前需对空气微生物采样器进行无菌处理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B. 细菌气溶胶样品恒温培养时需将平板倒置</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C. 同一稀释度下至少对3个平板计数并取平均值</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D. 稀释涂布平板法检测的细菌气溶胶浓度比实际值高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10. 在布氏田鼠种群数量爆发年份，种内竞争加剧，导致出生率下降、个体免疫力减弱，翌年种群数量大幅度减少；在种群数量低的年份，情况完全相反。下列叙述错误的是（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A. 布氏田鼠种群数量达到K/2时，种内竞争强度最小</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B. 布氏田鼠种群数量低的年份，环境容纳量可能不变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C. 布氏田鼠种群数量爆发年份，天敌捕食成功的概率提高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D</w:t>
      </w:r>
      <w:r>
        <w:rPr>
          <w:rFonts w:ascii="Helvetica" w:eastAsia="Helvetica" w:hAnsi="Helvetica" w:cs="Helvetica" w:hint="default"/>
          <w:color w:val="000000"/>
        </w:rPr>
        <w:drawing>
          <wp:inline distT="0" distB="0" distL="114300" distR="114300">
            <wp:extent cx="28575" cy="85725"/>
            <wp:effectExtent l="0" t="0" r="0" b="0"/>
            <wp:docPr id="7"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IMG_256"/>
                    <pic:cNvPicPr>
                      <a:picLocks noChangeAspect="1"/>
                    </pic:cNvPicPr>
                  </pic:nvPicPr>
                  <pic:blipFill>
                    <a:blip xmlns:r="http://schemas.openxmlformats.org/officeDocument/2006/relationships" r:embed="rId7"/>
                    <a:stretch>
                      <a:fillRect/>
                    </a:stretch>
                  </pic:blipFill>
                  <pic:spPr>
                    <a:xfrm>
                      <a:off x="0" y="0"/>
                      <a:ext cx="28575" cy="85725"/>
                    </a:xfrm>
                    <a:prstGeom prst="rect">
                      <a:avLst/>
                    </a:prstGeom>
                    <a:noFill/>
                    <a:ln w="9525">
                      <a:noFill/>
                    </a:ln>
                  </pic:spPr>
                </pic:pic>
              </a:graphicData>
            </a:graphic>
          </wp:inline>
        </w:drawing>
      </w:r>
      <w:r>
        <w:rPr>
          <w:rFonts w:ascii="Helvetica" w:eastAsia="Helvetica" w:hAnsi="Helvetica" w:cs="Helvetica" w:hint="default"/>
          <w:color w:val="000000"/>
        </w:rPr>
        <w:t> 布氏田鼠种群密度对种群数量变化起负反馈调节作用</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color w:val="000000"/>
        </w:rPr>
        <w:t>11. 下图为眼虫在适宜条件下增殖的示意图（仅显示部分染色体）。下列叙述正确的是（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drawing>
          <wp:inline distT="0" distB="0" distL="114300" distR="114300">
            <wp:extent cx="5229225" cy="1123950"/>
            <wp:effectExtent l="0" t="0" r="9525" b="0"/>
            <wp:docPr id="8" name="图片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MG_256"/>
                    <pic:cNvPicPr>
                      <a:picLocks noChangeAspect="1"/>
                    </pic:cNvPicPr>
                  </pic:nvPicPr>
                  <pic:blipFill>
                    <a:blip xmlns:r="http://schemas.openxmlformats.org/officeDocument/2006/relationships" r:embed="rId10"/>
                    <a:stretch>
                      <a:fillRect/>
                    </a:stretch>
                  </pic:blipFill>
                  <pic:spPr>
                    <a:xfrm>
                      <a:off x="0" y="0"/>
                      <a:ext cx="5229225" cy="1123950"/>
                    </a:xfrm>
                    <a:prstGeom prst="rect">
                      <a:avLst/>
                    </a:prstGeom>
                    <a:noFill/>
                    <a:ln w="9525">
                      <a:noFill/>
                    </a:ln>
                  </pic:spPr>
                </pic:pic>
              </a:graphicData>
            </a:graphic>
          </wp:inline>
        </w:drawing>
      </w:r>
      <w:r>
        <w:rPr>
          <w:rFonts w:ascii="Helvetica" w:eastAsia="Helvetica" w:hAnsi="Helvetica" w:cs="Helvetica" w:hint="default"/>
          <w:color w:val="000000"/>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A. ②时期，细胞核的变化与高等动物细胞相同</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B. ③时期，染色体的着丝粒排列在赤道板上</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C. ④时期，非同源染色体自由组合</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D. ⑤时期，细胞质的分裂方式与高等植物细胞相同</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color w:val="000000"/>
        </w:rPr>
        <w:t>12. 分别用不同浓度芸苔素（一种植物生长调节剂）和赤霉素处理杜仲叶片，然后测定叶片中的有效成分桃叶珊瑚苷含量，结果如下图所示。下列叙述错误的是（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drawing>
          <wp:inline distT="0" distB="0" distL="114300" distR="114300">
            <wp:extent cx="3228975" cy="1781175"/>
            <wp:effectExtent l="0" t="0" r="0" b="0"/>
            <wp:docPr id="9" name="图片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56"/>
                    <pic:cNvPicPr>
                      <a:picLocks noChangeAspect="1"/>
                    </pic:cNvPicPr>
                  </pic:nvPicPr>
                  <pic:blipFill>
                    <a:blip xmlns:r="http://schemas.openxmlformats.org/officeDocument/2006/relationships" r:embed="rId11"/>
                    <a:stretch>
                      <a:fillRect/>
                    </a:stretch>
                  </pic:blipFill>
                  <pic:spPr>
                    <a:xfrm>
                      <a:off x="0" y="0"/>
                      <a:ext cx="3228975" cy="1781175"/>
                    </a:xfrm>
                    <a:prstGeom prst="rect">
                      <a:avLst/>
                    </a:prstGeom>
                    <a:noFill/>
                    <a:ln w="9525">
                      <a:noFill/>
                    </a:ln>
                  </pic:spPr>
                </pic:pic>
              </a:graphicData>
            </a:graphic>
          </wp:inline>
        </w:drawing>
      </w:r>
      <w:r>
        <w:rPr>
          <w:rFonts w:ascii="Helvetica" w:eastAsia="Helvetica" w:hAnsi="Helvetica" w:cs="Helvetica" w:hint="default"/>
          <w:color w:val="000000"/>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A. 实验中生长调节剂的浓度范围可以通过预实验确定</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B. 设置对照组是为了排除内源激素对实验结果的影响</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C. 与对照组相比，赤霉素在500mg·L</w:t>
      </w:r>
      <w:r>
        <w:rPr>
          <w:rFonts w:ascii="Helvetica" w:eastAsia="Helvetica" w:hAnsi="Helvetica" w:cs="Helvetica" w:hint="default"/>
          <w:color w:val="000000"/>
          <w:vertAlign w:val="superscript"/>
        </w:rPr>
        <w:t>-1</w:t>
      </w:r>
      <w:r>
        <w:rPr>
          <w:rFonts w:ascii="Helvetica" w:eastAsia="Helvetica" w:hAnsi="Helvetica" w:cs="Helvetica" w:hint="default"/>
          <w:color w:val="000000"/>
        </w:rPr>
        <w:t>时起抑制作用</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D. 与用赤霉素处理相比，杜仲叶片对芸苔素更敏感</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color w:val="000000"/>
        </w:rPr>
        <w:t>13. 利用某种微生物发酵生产DHA油脂，可获取DHA（一种不饱和脂肪酸）。下图为发酵过程中物质含量变化曲线。下列叙述错误的是（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drawing>
          <wp:inline distT="0" distB="0" distL="114300" distR="114300">
            <wp:extent cx="3914775" cy="2771775"/>
            <wp:effectExtent l="0" t="0" r="9525" b="9525"/>
            <wp:docPr id="10" name="图片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IMG_256"/>
                    <pic:cNvPicPr>
                      <a:picLocks noChangeAspect="1"/>
                    </pic:cNvPicPr>
                  </pic:nvPicPr>
                  <pic:blipFill>
                    <a:blip xmlns:r="http://schemas.openxmlformats.org/officeDocument/2006/relationships" r:embed="rId12"/>
                    <a:stretch>
                      <a:fillRect/>
                    </a:stretch>
                  </pic:blipFill>
                  <pic:spPr>
                    <a:xfrm>
                      <a:off x="0" y="0"/>
                      <a:ext cx="3914775" cy="2771775"/>
                    </a:xfrm>
                    <a:prstGeom prst="rect">
                      <a:avLst/>
                    </a:prstGeom>
                    <a:noFill/>
                    <a:ln w="9525">
                      <a:noFill/>
                    </a:ln>
                  </pic:spPr>
                </pic:pic>
              </a:graphicData>
            </a:graphic>
          </wp:inline>
        </w:drawing>
      </w:r>
      <w:r>
        <w:rPr>
          <w:rFonts w:ascii="Helvetica" w:eastAsia="Helvetica" w:hAnsi="Helvetica" w:cs="Helvetica" w:hint="default"/>
          <w:color w:val="000000"/>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A. DHA油脂的产量与生物量呈正相关</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B. 温度和溶解氧的变化能影响DHA油脂的产量</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C. 葡萄糖代谢可为DHA油脂的合成提供能量</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D. 12～60h，DHA油脂的合成对氮源的需求比碳源高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color w:val="000000"/>
        </w:rPr>
        <w:t>14. 用含有不同植物生长调节剂配比的培养基诱导草莓茎尖形成不定芽，研究结果如下表。下列叙述错误的是（    ）</w:t>
      </w:r>
    </w:p>
    <w:tbl>
      <w:tblPr>
        <w:tblStyle w:val="TableNormal"/>
        <w:tblW w:w="1015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top w:w="0" w:type="dxa"/>
          <w:left w:w="0" w:type="dxa"/>
          <w:bottom w:w="0" w:type="dxa"/>
          <w:right w:w="0" w:type="dxa"/>
        </w:tblCellMar>
      </w:tblPr>
      <w:tblGrid>
        <w:gridCol w:w="2481"/>
        <w:gridCol w:w="840"/>
        <w:gridCol w:w="749"/>
        <w:gridCol w:w="749"/>
        <w:gridCol w:w="749"/>
        <w:gridCol w:w="749"/>
        <w:gridCol w:w="840"/>
        <w:gridCol w:w="749"/>
        <w:gridCol w:w="749"/>
        <w:gridCol w:w="750"/>
        <w:gridCol w:w="750"/>
      </w:tblGrid>
      <w:tr>
        <w:tblPrEx>
          <w:tblW w:w="1015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top w:w="0" w:type="dxa"/>
            <w:left w:w="0" w:type="dxa"/>
            <w:bottom w:w="0" w:type="dxa"/>
            <w:right w:w="0" w:type="dxa"/>
          </w:tblCellMar>
        </w:tblPrEx>
        <w:trPr>
          <w:trHeight w:val="33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drawing>
                <wp:inline distT="0" distB="0" distL="114300" distR="114300">
                  <wp:extent cx="1200150" cy="561975"/>
                  <wp:effectExtent l="0" t="0" r="0" b="9525"/>
                  <wp:docPr id="11" name="图片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IMG_256"/>
                          <pic:cNvPicPr>
                            <a:picLocks noChangeAspect="1"/>
                          </pic:cNvPicPr>
                        </pic:nvPicPr>
                        <pic:blipFill>
                          <a:blip xmlns:r="http://schemas.openxmlformats.org/officeDocument/2006/relationships" r:embed="rId13"/>
                          <a:stretch>
                            <a:fillRect/>
                          </a:stretch>
                        </pic:blipFill>
                        <pic:spPr>
                          <a:xfrm>
                            <a:off x="0" y="0"/>
                            <a:ext cx="1200150" cy="561975"/>
                          </a:xfrm>
                          <a:prstGeom prst="rect">
                            <a:avLst/>
                          </a:prstGeom>
                          <a:noFill/>
                          <a:ln w="9525">
                            <a:noFill/>
                          </a:ln>
                        </pic:spPr>
                      </pic:pic>
                    </a:graphicData>
                  </a:graphic>
                </wp:inline>
              </w:drawing>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4</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6</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7</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8</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9</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10</w:t>
            </w:r>
          </w:p>
        </w:tc>
      </w:tr>
      <w:tr>
        <w:tblPrEx>
          <w:tblW w:w="10155" w:type="dxa"/>
          <w:tblInd w:w="0" w:type="dxa"/>
          <w:shd w:val="clear" w:color="auto" w:fill="FFFFFF"/>
          <w:tblCellMar>
            <w:top w:w="0" w:type="dxa"/>
            <w:left w:w="0" w:type="dxa"/>
            <w:bottom w:w="0" w:type="dxa"/>
            <w:right w:w="0" w:type="dxa"/>
          </w:tblCellMar>
        </w:tblPrEx>
        <w:trPr>
          <w:trHeight w:val="33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6-BA（mg·L</w:t>
            </w:r>
            <w:r>
              <w:rPr>
                <w:rFonts w:ascii="Helvetica" w:eastAsia="Helvetica" w:hAnsi="Helvetica" w:cs="Helvetica" w:hint="default"/>
                <w:i w:val="0"/>
                <w:iCs w:val="0"/>
                <w:caps w:val="0"/>
                <w:color w:val="000000"/>
                <w:spacing w:val="8"/>
                <w:sz w:val="25"/>
                <w:szCs w:val="25"/>
                <w:vertAlign w:val="superscript"/>
              </w:rPr>
              <w:t>-1</w:t>
            </w:r>
            <w:r>
              <w:rPr>
                <w:rFonts w:ascii="Helvetica" w:eastAsia="Helvetica" w:hAnsi="Helvetica" w:cs="Helvetica" w:hint="default"/>
                <w:i w:val="0"/>
                <w:iCs w:val="0"/>
                <w:caps w:val="0"/>
                <w:color w:val="000000"/>
                <w:spacing w:val="8"/>
                <w:sz w:val="25"/>
                <w:szCs w:val="25"/>
              </w:rPr>
              <w:t>）</w:t>
            </w:r>
          </w:p>
        </w:tc>
        <w:tc>
          <w:tcPr>
            <w:tcW w:w="0" w:type="auto"/>
            <w:gridSpan w:val="10"/>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1</w:t>
            </w:r>
          </w:p>
        </w:tc>
      </w:tr>
      <w:tr>
        <w:tblPrEx>
          <w:tblW w:w="10155" w:type="dxa"/>
          <w:tblInd w:w="0" w:type="dxa"/>
          <w:shd w:val="clear" w:color="auto" w:fill="FFFFFF"/>
          <w:tblCellMar>
            <w:top w:w="0" w:type="dxa"/>
            <w:left w:w="0" w:type="dxa"/>
            <w:bottom w:w="0" w:type="dxa"/>
            <w:right w:w="0" w:type="dxa"/>
          </w:tblCellMar>
        </w:tblPrEx>
        <w:trPr>
          <w:trHeight w:val="33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NAA（mg：L</w:t>
            </w:r>
            <w:r>
              <w:rPr>
                <w:rFonts w:ascii="Helvetica" w:eastAsia="Helvetica" w:hAnsi="Helvetica" w:cs="Helvetica" w:hint="default"/>
                <w:i w:val="0"/>
                <w:iCs w:val="0"/>
                <w:caps w:val="0"/>
                <w:color w:val="000000"/>
                <w:spacing w:val="8"/>
                <w:sz w:val="25"/>
                <w:szCs w:val="25"/>
                <w:vertAlign w:val="superscript"/>
              </w:rPr>
              <w:t>-1</w:t>
            </w:r>
            <w:r>
              <w:rPr>
                <w:rFonts w:ascii="Helvetica" w:eastAsia="Helvetica" w:hAnsi="Helvetica" w:cs="Helvetica" w:hint="default"/>
                <w:i w:val="0"/>
                <w:iCs w:val="0"/>
                <w:caps w:val="0"/>
                <w:color w:val="000000"/>
                <w:spacing w:val="8"/>
                <w:sz w:val="25"/>
                <w:szCs w:val="25"/>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0．05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0．1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0．2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0．3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0．5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w:t>
            </w:r>
          </w:p>
        </w:tc>
      </w:tr>
      <w:tr>
        <w:tblPrEx>
          <w:tblW w:w="10155" w:type="dxa"/>
          <w:tblInd w:w="0" w:type="dxa"/>
          <w:shd w:val="clear" w:color="auto" w:fill="FFFFFF"/>
          <w:tblCellMar>
            <w:top w:w="0" w:type="dxa"/>
            <w:left w:w="0" w:type="dxa"/>
            <w:bottom w:w="0" w:type="dxa"/>
            <w:right w:w="0" w:type="dxa"/>
          </w:tblCellMar>
        </w:tblPrEx>
        <w:trPr>
          <w:trHeight w:val="33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2，4-D（mg：L）</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0．05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0．1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0．2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0．3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0．5</w:t>
            </w:r>
          </w:p>
        </w:tc>
      </w:tr>
      <w:tr>
        <w:tblPrEx>
          <w:tblW w:w="10155" w:type="dxa"/>
          <w:tblInd w:w="0" w:type="dxa"/>
          <w:shd w:val="clear" w:color="auto" w:fill="FFFFFF"/>
          <w:tblCellMar>
            <w:top w:w="0" w:type="dxa"/>
            <w:left w:w="0" w:type="dxa"/>
            <w:bottom w:w="0" w:type="dxa"/>
            <w:right w:w="0" w:type="dxa"/>
          </w:tblCellMar>
        </w:tblPrEx>
        <w:trPr>
          <w:trHeight w:val="33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不定芽诱导率（%）</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68</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75</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77</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69</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59</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81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92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83</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70</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61</w:t>
            </w:r>
          </w:p>
        </w:tc>
      </w:tr>
    </w:tbl>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注：诱导率=出不定芽的外植体数/接种的外植体数×100%</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A. 培养基中NAA/6-BA比例过高，不利于不定芽的诱导</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B. 推断6-BA应为细胞分裂素类植物生长调节剂</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C. 该研究的结果可指导草莓脱毒苗的生产</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D. 相同条件下，NAA诱导草莓茎尖形成不定芽的效果优于2，4-D</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color w:val="000000"/>
        </w:rPr>
        <w:t>15. 尾悬吊（后肢悬空）的大鼠常被用作骨骼肌萎缩研究的实验模型。将实验大鼠随机均分为3组：甲组不悬吊；乙组悬吊；丙组悬吊+电针插入骨骼肌刺激。4周后结果显示：与甲组相比，乙组大鼠后肢小腿骨骼肌出现重量降低、肌纤维横截面积减小等肌萎缩症状；丙组的肌萎缩症状比乙组有一定程度的减轻。据此分析，下列叙述错误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A. 尾悬吊使大鼠骨骼肌的肌蛋白降解速度大于合成速度</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B. 乙组大鼠后肢骨骼肌萎缩与神经—肌肉突触传递减弱有关</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C. 对丙组大鼠施加的电刺激信号经反射弧调控骨骼肌收缩</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D. 长期卧床病人通过适当的电刺激可能缓解骨骼肌萎缩</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Style w:val="Strong"/>
          <w:rFonts w:ascii="Helvetica" w:eastAsia="Helvetica" w:hAnsi="Helvetica" w:cs="Helvetica" w:hint="default"/>
          <w:color w:val="000000"/>
          <w:sz w:val="24"/>
          <w:szCs w:val="24"/>
        </w:rPr>
        <w:t>二、多择题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16. 下图是人体被某寄生虫感染后，发生特异性免疫的部分过程。下列叙述正确的是（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drawing>
          <wp:inline distT="0" distB="0" distL="114300" distR="114300">
            <wp:extent cx="5181600" cy="1181100"/>
            <wp:effectExtent l="0" t="0" r="0" b="0"/>
            <wp:docPr id="13" name="图片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2" descr="IMG_256"/>
                    <pic:cNvPicPr>
                      <a:picLocks noChangeAspect="1"/>
                    </pic:cNvPicPr>
                  </pic:nvPicPr>
                  <pic:blipFill>
                    <a:blip xmlns:r="http://schemas.openxmlformats.org/officeDocument/2006/relationships" r:embed="rId14"/>
                    <a:stretch>
                      <a:fillRect/>
                    </a:stretch>
                  </pic:blipFill>
                  <pic:spPr>
                    <a:xfrm>
                      <a:off x="0" y="0"/>
                      <a:ext cx="5181600" cy="1181100"/>
                    </a:xfrm>
                    <a:prstGeom prst="rect">
                      <a:avLst/>
                    </a:prstGeom>
                    <a:noFill/>
                    <a:ln w="9525">
                      <a:noFill/>
                    </a:ln>
                  </pic:spPr>
                </pic:pic>
              </a:graphicData>
            </a:graphic>
          </wp:inline>
        </w:drawing>
      </w:r>
      <w:r>
        <w:rPr>
          <w:rFonts w:ascii="Helvetica" w:eastAsia="Helvetica" w:hAnsi="Helvetica" w:cs="Helvetica" w:hint="default"/>
          <w:color w:val="000000"/>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A. m为树突状细胞，能识别、吞噬抗原和呈递抗原信息</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B. n为辅助性T细胞，能分泌细胞因子、接受和传递信息</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C. p为B细胞，其活化需两个信号的刺激和细胞因子的作用</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D. q为浆细胞，能分泌特异性抗体和分裂分化为记忆细胞</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17. 磷（P）是导致水体富营养化的重要营养元素之一、湖水中P会随生物遗体残骸、排泄物等沉入底泥。当遇到风浪扰动时，浅水型湖泊底泥中的P会进入上层水体而被生物重新利用；深水型湖泊因水体过深，底泥中的P无法被风浪扰动进入上层水体。若仅考虑P循环，下列叙述正确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A. 水中P沿食物链在生物体内聚集，最终积累在食物链顶端</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B. 定期清除底泥对减缓两种类型湖泊富营养化具有同等效果</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C. 减少外源P的输入是控制深水型湖泊富营养化的关键措施</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D. 相同条件下，浅水型湖泊比深水型湖泊更易发生富营养化</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color w:val="000000"/>
        </w:rPr>
        <w:t>18. DNA在细胞生命过程中会发生多种类型的损伤。如损伤较小，RNA聚合酶经过损伤位点时，腺嘌呤核糖核苷酸会不依赖于模板掺入mRNA（如图1）；如损伤较大，修复因子Mfd识别、结合滞留的RNA聚合酶，“招募”多种修复因子、DNA聚合酶等进行修复（如图2）。下列叙述正确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drawing>
          <wp:inline distT="0" distB="0" distL="114300" distR="114300">
            <wp:extent cx="4448175" cy="2482850"/>
            <wp:effectExtent l="0" t="0" r="9525" b="12700"/>
            <wp:docPr id="17" name="图片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3" descr="IMG_256"/>
                    <pic:cNvPicPr>
                      <a:picLocks noChangeAspect="1"/>
                    </pic:cNvPicPr>
                  </pic:nvPicPr>
                  <pic:blipFill>
                    <a:blip xmlns:r="http://schemas.openxmlformats.org/officeDocument/2006/relationships" r:embed="rId15"/>
                    <a:stretch>
                      <a:fillRect/>
                    </a:stretch>
                  </pic:blipFill>
                  <pic:spPr>
                    <a:xfrm>
                      <a:off x="0" y="0"/>
                      <a:ext cx="4448175" cy="2482850"/>
                    </a:xfrm>
                    <a:prstGeom prst="rect">
                      <a:avLst/>
                    </a:prstGeom>
                    <a:noFill/>
                    <a:ln w="9525">
                      <a:noFill/>
                    </a:ln>
                  </pic:spPr>
                </pic:pic>
              </a:graphicData>
            </a:graphic>
          </wp:inline>
        </w:drawing>
      </w:r>
      <w:r>
        <w:rPr>
          <w:rFonts w:ascii="Helvetica" w:eastAsia="Helvetica" w:hAnsi="Helvetica" w:cs="Helvetica" w:hint="default"/>
          <w:color w:val="000000"/>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A. 图1所示的DNA经复制后有半数子代DNA含该损伤导致的突变基因</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B. 图1所示转录产生的mRNA指导合成的蛋白质氨基酸序列可能不变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C. 图2所示的转录过程是沿着模板链的5'端到3'端进行的</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D. 图2所示的DNA聚合酶催化DNA损伤链的修复，方向是从n到m</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19. 基质金属蛋白酶MMP2和MMP9是癌细胞转移的关键酶。MMP2和MMP9可以降解明胶，明胶可被某染液染成蓝色，因此可以利用含有明胶的凝胶电泳检测这两种酶在不同条件下的活性。据下图分析，下列叙述正确的是（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drawing>
          <wp:inline distT="0" distB="0" distL="114300" distR="114300">
            <wp:extent cx="3419475" cy="2514600"/>
            <wp:effectExtent l="0" t="0" r="9525" b="0"/>
            <wp:docPr id="16" name="图片 1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descr="IMG_257"/>
                    <pic:cNvPicPr>
                      <a:picLocks noChangeAspect="1"/>
                    </pic:cNvPicPr>
                  </pic:nvPicPr>
                  <pic:blipFill>
                    <a:blip xmlns:r="http://schemas.openxmlformats.org/officeDocument/2006/relationships" r:embed="rId16"/>
                    <a:stretch>
                      <a:fillRect/>
                    </a:stretch>
                  </pic:blipFill>
                  <pic:spPr>
                    <a:xfrm>
                      <a:off x="0" y="0"/>
                      <a:ext cx="3419475" cy="2514600"/>
                    </a:xfrm>
                    <a:prstGeom prst="rect">
                      <a:avLst/>
                    </a:prstGeom>
                    <a:noFill/>
                    <a:ln w="9525">
                      <a:noFill/>
                    </a:ln>
                  </pic:spPr>
                </pic:pic>
              </a:graphicData>
            </a:graphic>
          </wp:inline>
        </w:drawing>
      </w:r>
      <w:r>
        <w:rPr>
          <w:rFonts w:ascii="Helvetica" w:eastAsia="Helvetica" w:hAnsi="Helvetica" w:cs="Helvetica" w:hint="default"/>
          <w:color w:val="000000"/>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A</w:t>
      </w:r>
      <w:r>
        <w:rPr>
          <w:rFonts w:ascii="Helvetica" w:eastAsia="Helvetica" w:hAnsi="Helvetica" w:cs="Helvetica" w:hint="default"/>
          <w:color w:val="000000"/>
        </w:rPr>
        <w:drawing>
          <wp:inline distT="0" distB="0" distL="114300" distR="114300">
            <wp:extent cx="28575" cy="85725"/>
            <wp:effectExtent l="0" t="0" r="0" b="0"/>
            <wp:docPr id="14" name="图片 1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5" descr="IMG_258"/>
                    <pic:cNvPicPr>
                      <a:picLocks noChangeAspect="1"/>
                    </pic:cNvPicPr>
                  </pic:nvPicPr>
                  <pic:blipFill>
                    <a:blip xmlns:r="http://schemas.openxmlformats.org/officeDocument/2006/relationships" r:embed="rId7"/>
                    <a:stretch>
                      <a:fillRect/>
                    </a:stretch>
                  </pic:blipFill>
                  <pic:spPr>
                    <a:xfrm>
                      <a:off x="0" y="0"/>
                      <a:ext cx="28575" cy="85725"/>
                    </a:xfrm>
                    <a:prstGeom prst="rect">
                      <a:avLst/>
                    </a:prstGeom>
                    <a:noFill/>
                    <a:ln w="9525">
                      <a:noFill/>
                    </a:ln>
                  </pic:spPr>
                </pic:pic>
              </a:graphicData>
            </a:graphic>
          </wp:inline>
        </w:drawing>
      </w:r>
      <w:r>
        <w:rPr>
          <w:rFonts w:ascii="Helvetica" w:eastAsia="Helvetica" w:hAnsi="Helvetica" w:cs="Helvetica" w:hint="default"/>
          <w:color w:val="000000"/>
        </w:rPr>
        <w:t> SDS可以提高MMP2和MMP9活性</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B. 10℃保温降低了MMP2和MMP9活性</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C. 缓冲液用于维持MMP2和MMP9活性</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D. MMP2和MMP9降解明胶不具有专一性</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20. 下面是某家族遗传病的系谱图，甲病由等位基因A、a控制，乙病由等位基因B、b控制，其中II</w:t>
      </w:r>
      <w:r>
        <w:rPr>
          <w:rFonts w:ascii="Helvetica" w:eastAsia="Helvetica" w:hAnsi="Helvetica" w:cs="Helvetica" w:hint="default"/>
          <w:color w:val="000000"/>
          <w:vertAlign w:val="subscript"/>
        </w:rPr>
        <w:t>2</w:t>
      </w:r>
      <w:r>
        <w:rPr>
          <w:rFonts w:ascii="Helvetica" w:eastAsia="Helvetica" w:hAnsi="Helvetica" w:cs="Helvetica" w:hint="default"/>
          <w:color w:val="000000"/>
        </w:rPr>
        <w:t>不携带遗传病致病基因，所有个体均未发生突变。下列叙述正确的是（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drawing>
          <wp:inline distT="0" distB="0" distL="114300" distR="114300">
            <wp:extent cx="5238750" cy="1323975"/>
            <wp:effectExtent l="0" t="0" r="0" b="9525"/>
            <wp:docPr id="15" name="图片 16"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6" descr="IMG_259"/>
                    <pic:cNvPicPr>
                      <a:picLocks noChangeAspect="1"/>
                    </pic:cNvPicPr>
                  </pic:nvPicPr>
                  <pic:blipFill>
                    <a:blip xmlns:r="http://schemas.openxmlformats.org/officeDocument/2006/relationships" r:embed="rId17"/>
                    <a:stretch>
                      <a:fillRect/>
                    </a:stretch>
                  </pic:blipFill>
                  <pic:spPr>
                    <a:xfrm>
                      <a:off x="0" y="0"/>
                      <a:ext cx="5238750" cy="1323975"/>
                    </a:xfrm>
                    <a:prstGeom prst="rect">
                      <a:avLst/>
                    </a:prstGeom>
                    <a:noFill/>
                    <a:ln w="9525">
                      <a:noFill/>
                    </a:ln>
                  </pic:spPr>
                </pic:pic>
              </a:graphicData>
            </a:graphic>
          </wp:inline>
        </w:drawing>
      </w:r>
      <w:r>
        <w:rPr>
          <w:rFonts w:ascii="Helvetica" w:eastAsia="Helvetica" w:hAnsi="Helvetica" w:cs="Helvetica" w:hint="default"/>
          <w:color w:val="000000"/>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A. I</w:t>
      </w:r>
      <w:r>
        <w:rPr>
          <w:rFonts w:ascii="Helvetica" w:eastAsia="Helvetica" w:hAnsi="Helvetica" w:cs="Helvetica" w:hint="default"/>
          <w:color w:val="000000"/>
          <w:vertAlign w:val="subscript"/>
        </w:rPr>
        <w:t>2</w:t>
      </w:r>
      <w:r>
        <w:rPr>
          <w:rFonts w:ascii="Helvetica" w:eastAsia="Helvetica" w:hAnsi="Helvetica" w:cs="Helvetica" w:hint="default"/>
          <w:color w:val="000000"/>
        </w:rPr>
        <w:t>与Ⅲ</w:t>
      </w:r>
      <w:r>
        <w:rPr>
          <w:rFonts w:ascii="Helvetica" w:eastAsia="Helvetica" w:hAnsi="Helvetica" w:cs="Helvetica" w:hint="default"/>
          <w:color w:val="000000"/>
          <w:vertAlign w:val="subscript"/>
        </w:rPr>
        <w:t>1</w:t>
      </w:r>
      <w:r>
        <w:rPr>
          <w:rFonts w:ascii="Helvetica" w:eastAsia="Helvetica" w:hAnsi="Helvetica" w:cs="Helvetica" w:hint="default"/>
          <w:color w:val="000000"/>
        </w:rPr>
        <w:t>的基因型相同的概率是1</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B. Ⅲ</w:t>
      </w:r>
      <w:r>
        <w:rPr>
          <w:rFonts w:ascii="Helvetica" w:eastAsia="Helvetica" w:hAnsi="Helvetica" w:cs="Helvetica" w:hint="default"/>
          <w:color w:val="000000"/>
          <w:vertAlign w:val="subscript"/>
        </w:rPr>
        <w:t>2</w:t>
      </w:r>
      <w:r>
        <w:rPr>
          <w:rFonts w:ascii="Helvetica" w:eastAsia="Helvetica" w:hAnsi="Helvetica" w:cs="Helvetica" w:hint="default"/>
          <w:color w:val="000000"/>
        </w:rPr>
        <w:t>、Ⅲ</w:t>
      </w:r>
      <w:r>
        <w:rPr>
          <w:rFonts w:ascii="Helvetica" w:eastAsia="Helvetica" w:hAnsi="Helvetica" w:cs="Helvetica" w:hint="default"/>
          <w:color w:val="000000"/>
          <w:vertAlign w:val="subscript"/>
        </w:rPr>
        <w:t>3</w:t>
      </w:r>
      <w:r>
        <w:rPr>
          <w:rFonts w:ascii="Helvetica" w:eastAsia="Helvetica" w:hAnsi="Helvetica" w:cs="Helvetica" w:hint="default"/>
          <w:color w:val="000000"/>
        </w:rPr>
        <w:t>出现说明Ⅱ</w:t>
      </w:r>
      <w:r>
        <w:rPr>
          <w:rFonts w:ascii="Helvetica" w:eastAsia="Helvetica" w:hAnsi="Helvetica" w:cs="Helvetica" w:hint="default"/>
          <w:color w:val="000000"/>
          <w:vertAlign w:val="subscript"/>
        </w:rPr>
        <w:t>2</w:t>
      </w:r>
      <w:r>
        <w:rPr>
          <w:rFonts w:ascii="Helvetica" w:eastAsia="Helvetica" w:hAnsi="Helvetica" w:cs="Helvetica" w:hint="default"/>
          <w:color w:val="000000"/>
        </w:rPr>
        <w:t>形成配子时同源染色体的非姐妹染色单体间发生了交换</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C. Ⅱ</w:t>
      </w:r>
      <w:r>
        <w:rPr>
          <w:rFonts w:ascii="Helvetica" w:eastAsia="Helvetica" w:hAnsi="Helvetica" w:cs="Helvetica" w:hint="default"/>
          <w:color w:val="000000"/>
          <w:vertAlign w:val="subscript"/>
        </w:rPr>
        <w:t>2</w:t>
      </w:r>
      <w:r>
        <w:rPr>
          <w:rFonts w:ascii="Helvetica" w:eastAsia="Helvetica" w:hAnsi="Helvetica" w:cs="Helvetica" w:hint="default"/>
          <w:color w:val="000000"/>
        </w:rPr>
        <w:t>减数分裂后生成AB、Ab、aB、ab比例相等的四种配子</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rPr>
          <w:rFonts w:ascii="Helvetica" w:eastAsia="Helvetica" w:hAnsi="Helvetica" w:cs="Helvetica" w:hint="default"/>
          <w:color w:val="000000"/>
        </w:rPr>
      </w:pPr>
      <w:r>
        <w:rPr>
          <w:rFonts w:ascii="Helvetica" w:eastAsia="Helvetica" w:hAnsi="Helvetica" w:cs="Helvetica" w:hint="default"/>
          <w:color w:val="000000"/>
        </w:rPr>
        <w:t>D. 若Ⅲ</w:t>
      </w:r>
      <w:r>
        <w:rPr>
          <w:rFonts w:ascii="Helvetica" w:eastAsia="Helvetica" w:hAnsi="Helvetica" w:cs="Helvetica" w:hint="default"/>
          <w:color w:val="000000"/>
          <w:vertAlign w:val="subscript"/>
        </w:rPr>
        <w:t>5</w:t>
      </w:r>
      <w:r>
        <w:rPr>
          <w:rFonts w:ascii="Helvetica" w:eastAsia="Helvetica" w:hAnsi="Helvetica" w:cs="Helvetica" w:hint="default"/>
          <w:color w:val="000000"/>
        </w:rPr>
        <w:t>与一个表型正常的男子结婚，儿子中表型正常的概率大于1/2</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Style w:val="Strong"/>
          <w:rFonts w:ascii="Helvetica" w:eastAsia="Helvetica" w:hAnsi="Helvetica" w:cs="Helvetica"/>
          <w:color w:val="000000"/>
          <w:sz w:val="24"/>
          <w:szCs w:val="24"/>
        </w:rPr>
        <w:t>三、非选择题：本题共</w:t>
      </w:r>
      <w:r>
        <w:rPr>
          <w:rStyle w:val="Strong"/>
          <w:rFonts w:ascii="Helvetica" w:eastAsia="Helvetica" w:hAnsi="Helvetica" w:cs="Helvetica" w:hint="default"/>
          <w:color w:val="000000"/>
          <w:sz w:val="24"/>
          <w:szCs w:val="24"/>
        </w:rPr>
        <w:t>5小题，共55分。</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21. 花生抗逆性强，部分品种可以在盐碱土区种植。下图是四个品种的花生在不同实验条件下的叶绿素含量相对值（SPAD）（图1）和净光合速率（图2）。回答下列问题：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drawing>
          <wp:inline distT="0" distB="0" distL="114300" distR="114300">
            <wp:extent cx="5095875" cy="3190875"/>
            <wp:effectExtent l="0" t="0" r="9525" b="9525"/>
            <wp:docPr id="22" name="图片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7" descr="IMG_256"/>
                    <pic:cNvPicPr>
                      <a:picLocks noChangeAspect="1"/>
                    </pic:cNvPicPr>
                  </pic:nvPicPr>
                  <pic:blipFill>
                    <a:blip xmlns:r="http://schemas.openxmlformats.org/officeDocument/2006/relationships" r:embed="rId18"/>
                    <a:stretch>
                      <a:fillRect/>
                    </a:stretch>
                  </pic:blipFill>
                  <pic:spPr>
                    <a:xfrm>
                      <a:off x="0" y="0"/>
                      <a:ext cx="5095875" cy="3190875"/>
                    </a:xfrm>
                    <a:prstGeom prst="rect">
                      <a:avLst/>
                    </a:prstGeom>
                    <a:noFill/>
                    <a:ln w="9525">
                      <a:noFill/>
                    </a:ln>
                  </pic:spPr>
                </pic:pic>
              </a:graphicData>
            </a:graphic>
          </wp:inline>
        </w:drawing>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drawing>
          <wp:inline distT="0" distB="0" distL="114300" distR="114300">
            <wp:extent cx="5238750" cy="3419475"/>
            <wp:effectExtent l="0" t="0" r="0" b="9525"/>
            <wp:docPr id="19" name="图片 18"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IMG_257"/>
                    <pic:cNvPicPr>
                      <a:picLocks noChangeAspect="1"/>
                    </pic:cNvPicPr>
                  </pic:nvPicPr>
                  <pic:blipFill>
                    <a:blip xmlns:r="http://schemas.openxmlformats.org/officeDocument/2006/relationships" r:embed="rId19"/>
                    <a:stretch>
                      <a:fillRect/>
                    </a:stretch>
                  </pic:blipFill>
                  <pic:spPr>
                    <a:xfrm>
                      <a:off x="0" y="0"/>
                      <a:ext cx="5238750" cy="3419475"/>
                    </a:xfrm>
                    <a:prstGeom prst="rect">
                      <a:avLst/>
                    </a:prstGeom>
                    <a:noFill/>
                    <a:ln w="9525">
                      <a:noFill/>
                    </a:ln>
                  </pic:spPr>
                </pic:pic>
              </a:graphicData>
            </a:graphic>
          </wp:inline>
        </w:drawing>
      </w:r>
      <w:r>
        <w:rPr>
          <w:rFonts w:ascii="Helvetica" w:eastAsia="Helvetica" w:hAnsi="Helvetica" w:cs="Helvetica" w:hint="default"/>
          <w:color w:val="000000"/>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（1）花生叶肉细胞中的叶绿素包括_____，主要吸收_____光，可用_____等有机溶剂从叶片中提取。</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（2）盐添加量不同的条件下，叶绿素含量受影响最显著的品种是_____。</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（3）在光照强度为500μmol·m</w:t>
      </w:r>
      <w:r>
        <w:rPr>
          <w:rFonts w:ascii="Helvetica" w:eastAsia="Helvetica" w:hAnsi="Helvetica" w:cs="Helvetica" w:hint="default"/>
          <w:color w:val="000000"/>
          <w:vertAlign w:val="superscript"/>
        </w:rPr>
        <w:t>2</w:t>
      </w:r>
      <w:r>
        <w:rPr>
          <w:rFonts w:ascii="Helvetica" w:eastAsia="Helvetica" w:hAnsi="Helvetica" w:cs="Helvetica" w:hint="default"/>
          <w:color w:val="000000"/>
        </w:rPr>
        <w:t>·s¹、无NaCl添加的条件下，LH12的光合速率_____（填“大于”“等于”或“小于"）HH1的光合速率，判断的依据是_____。在光照强度为1500μmolm</w:t>
      </w:r>
      <w:r>
        <w:rPr>
          <w:rFonts w:ascii="Helvetica" w:eastAsia="Helvetica" w:hAnsi="Helvetica" w:cs="Helvetica" w:hint="default"/>
          <w:color w:val="000000"/>
          <w:vertAlign w:val="superscript"/>
        </w:rPr>
        <w:t>2</w:t>
      </w:r>
      <w:r>
        <w:rPr>
          <w:rFonts w:ascii="Helvetica" w:eastAsia="Helvetica" w:hAnsi="Helvetica" w:cs="Helvetica" w:hint="default"/>
          <w:color w:val="000000"/>
        </w:rPr>
        <w:t>·s</w:t>
      </w:r>
      <w:r>
        <w:rPr>
          <w:rFonts w:ascii="Helvetica" w:eastAsia="Helvetica" w:hAnsi="Helvetica" w:cs="Helvetica" w:hint="default"/>
          <w:color w:val="000000"/>
          <w:vertAlign w:val="superscript"/>
        </w:rPr>
        <w:t>-1</w:t>
      </w:r>
      <w:r>
        <w:rPr>
          <w:rFonts w:ascii="Helvetica" w:eastAsia="Helvetica" w:hAnsi="Helvetica" w:cs="Helvetica" w:hint="default"/>
          <w:color w:val="000000"/>
        </w:rPr>
        <w:t>、NaCl添加量为3．0g·kg¹的条件下，HY25的净光合速率大于其他三个品种的净光合速率，原因可能是HY25的_____含量高，光反应生成更多的_____，促进了暗反应进行。</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（4）依据图2，在中盐（2．0g·kg</w:t>
      </w:r>
      <w:r>
        <w:rPr>
          <w:rFonts w:ascii="Helvetica" w:eastAsia="Helvetica" w:hAnsi="Helvetica" w:cs="Helvetica" w:hint="default"/>
          <w:color w:val="000000"/>
          <w:vertAlign w:val="superscript"/>
        </w:rPr>
        <w:t>-1</w:t>
      </w:r>
      <w:r>
        <w:rPr>
          <w:rFonts w:ascii="Helvetica" w:eastAsia="Helvetica" w:hAnsi="Helvetica" w:cs="Helvetica" w:hint="default"/>
          <w:color w:val="000000"/>
        </w:rPr>
        <w:t>）土区适宜选择种植_____品种。</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22. 随着人类星际旅行计划的推进，如何降低乘员代谢率以减少飞船负载是关键问题之一、动物的冬眠为人类低代谢的研究提供了重要参考。图1显示某储脂类哺乳动物的整个冬眠过程包含多个冬眠阵。每个冬眠阵由入眠、深冬眠、激醒和阵间觉醒四个阶段组成，其体温和代谢率变化如图2回答下列问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drawing>
          <wp:inline distT="0" distB="0" distL="114300" distR="114300">
            <wp:extent cx="5238750" cy="1790700"/>
            <wp:effectExtent l="0" t="0" r="0" b="0"/>
            <wp:docPr id="20" name="图片 19"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IMG_258"/>
                    <pic:cNvPicPr>
                      <a:picLocks noChangeAspect="1"/>
                    </pic:cNvPicPr>
                  </pic:nvPicPr>
                  <pic:blipFill>
                    <a:blip xmlns:r="http://schemas.openxmlformats.org/officeDocument/2006/relationships" r:embed="rId20"/>
                    <a:stretch>
                      <a:fillRect/>
                    </a:stretch>
                  </pic:blipFill>
                  <pic:spPr>
                    <a:xfrm>
                      <a:off x="0" y="0"/>
                      <a:ext cx="5238750" cy="1790700"/>
                    </a:xfrm>
                    <a:prstGeom prst="rect">
                      <a:avLst/>
                    </a:prstGeom>
                    <a:noFill/>
                    <a:ln w="9525">
                      <a:noFill/>
                    </a:ln>
                  </pic:spPr>
                </pic:pic>
              </a:graphicData>
            </a:graphic>
          </wp:inline>
        </w:drawing>
      </w:r>
      <w:r>
        <w:rPr>
          <w:rFonts w:ascii="Helvetica" w:eastAsia="Helvetica" w:hAnsi="Helvetica" w:cs="Helvetica" w:hint="default"/>
          <w:color w:val="000000"/>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drawing>
          <wp:inline distT="0" distB="0" distL="114300" distR="114300">
            <wp:extent cx="5172075" cy="2714625"/>
            <wp:effectExtent l="0" t="0" r="9525" b="9525"/>
            <wp:docPr id="23" name="图片 20"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0" descr="IMG_259"/>
                    <pic:cNvPicPr>
                      <a:picLocks noChangeAspect="1"/>
                    </pic:cNvPicPr>
                  </pic:nvPicPr>
                  <pic:blipFill>
                    <a:blip xmlns:r="http://schemas.openxmlformats.org/officeDocument/2006/relationships" r:embed="rId21"/>
                    <a:stretch>
                      <a:fillRect/>
                    </a:stretch>
                  </pic:blipFill>
                  <pic:spPr>
                    <a:xfrm>
                      <a:off x="0" y="0"/>
                      <a:ext cx="5172075" cy="2714625"/>
                    </a:xfrm>
                    <a:prstGeom prst="rect">
                      <a:avLst/>
                    </a:prstGeom>
                    <a:noFill/>
                    <a:ln w="9525">
                      <a:noFill/>
                    </a:ln>
                  </pic:spPr>
                </pic:pic>
              </a:graphicData>
            </a:graphic>
          </wp:inline>
        </w:drawing>
      </w:r>
      <w:r>
        <w:rPr>
          <w:rFonts w:ascii="Helvetica" w:eastAsia="Helvetica" w:hAnsi="Helvetica" w:cs="Helvetica" w:hint="default"/>
          <w:color w:val="000000"/>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（1）入眠阶段该动物体温逐渐_____，呼吸频率会发生相应变化，调控呼吸频率的中枢位于_____。进入深冬眠阶段后该动物维持_____，以减少有机物的消耗。</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（2）在激醒过程中，从中枢神经系统的_____发出的交感神经兴奋，使机体产热增加，体温迅速回升。</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（3）该动物在阵间觉醒阶段会排尿，排尿是在高级中枢调控下由低级中枢发出的传出神经兴奋使膀胱缩小完成的，这种调节方式属于_____调节。该动物冬眠季节不进食、不饮水，主要通过分解体内的_____产生水。</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4）低温不能诱发非冬眠动物冬眠，但利用某种物质可诱导出猕猴等动物的低代谢状态，其机制是激活了下丘脑的特定神经元。据此推测，研究人体低代谢调节机制的关键是要找到_____和_____，并保证“星际旅行休眠人”能够及时。</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23. 迁徙鸟类与地球上不同生态系统、当地生物多样性和人类文化的时空关联，诠释了“地球生命共同体”的理念。辽东半岛滨海湿地资源丰富，是东亚—澳大利西亚水鸟迁徙通道中鸟类的重要停歇、觅食地，对保护生物多样性具有全球性的重要意义。回答下列问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（1）迁徙鸟类对迁徙途中停歇、觅食地生态系统的结构和功能产生影响，生态系统的基本功能是_____、_____和_____。</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（2）每年春季，数量巨大的迁徙水鸟在辽宁滨海湿地停歇、觅食，形成“鸟浪”奇观。此时，该地生物群落体现出明显的_____变化。决定该地生物群落性质最重要的因素是_____。</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3）该地区迁徙水鸟还停歇、觅食于由自然滩涂改造形成的水田和养殖塘等人工环境，这说明保护迁徙的候鸟，并不意味禁止_____自然滩涂，适度的人类生产活动会_____（填“提高”或“降低”）湿地生态系统的多样性。</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（4）在鸟类迁徙通道的觅食地，影响各种鸟类种群数量变化的关键生物因素是湿地中的_____。</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（5）为稳定发挥辽宁滨海湿地在鸟类迁徙过程中重要节点的作用，应采取_____（答出两点即可）等措施，对该区域湿地进行全面的保护。</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24. 萝卜是雌雄同花植物，其贮藏根（萝卜）红色、紫色和白色由一对等位基因W、w控制，长形、椭圆形和圆形由另一对等位基因R、r控制。一株表型为紫色椭圆形萝卜的植株自交，F₁的表型及其比例如下表所示。回答下列问题：</w:t>
      </w:r>
    </w:p>
    <w:tbl>
      <w:tblPr>
        <w:tblStyle w:val="TableNormal"/>
        <w:tblW w:w="1015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top w:w="0" w:type="dxa"/>
          <w:left w:w="0" w:type="dxa"/>
          <w:bottom w:w="0" w:type="dxa"/>
          <w:right w:w="0" w:type="dxa"/>
        </w:tblCellMar>
      </w:tblPr>
      <w:tblGrid>
        <w:gridCol w:w="1224"/>
        <w:gridCol w:w="897"/>
        <w:gridCol w:w="1183"/>
        <w:gridCol w:w="897"/>
        <w:gridCol w:w="897"/>
        <w:gridCol w:w="1183"/>
        <w:gridCol w:w="897"/>
        <w:gridCol w:w="897"/>
        <w:gridCol w:w="1183"/>
        <w:gridCol w:w="897"/>
      </w:tblGrid>
      <w:tr>
        <w:tblPrEx>
          <w:tblW w:w="10155"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blCellMar>
            <w:top w:w="0" w:type="dxa"/>
            <w:left w:w="0" w:type="dxa"/>
            <w:bottom w:w="0" w:type="dxa"/>
            <w:right w:w="0" w:type="dxa"/>
          </w:tblCellMar>
        </w:tblPrEx>
        <w:trPr>
          <w:trHeight w:val="33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F</w:t>
            </w:r>
            <w:r>
              <w:rPr>
                <w:rFonts w:ascii="Helvetica" w:eastAsia="Helvetica" w:hAnsi="Helvetica" w:cs="Helvetica" w:hint="default"/>
                <w:i w:val="0"/>
                <w:iCs w:val="0"/>
                <w:caps w:val="0"/>
                <w:color w:val="000000"/>
                <w:spacing w:val="8"/>
                <w:sz w:val="25"/>
                <w:szCs w:val="25"/>
                <w:vertAlign w:val="subscript"/>
              </w:rPr>
              <w:t>1</w:t>
            </w:r>
            <w:r>
              <w:rPr>
                <w:rFonts w:ascii="Helvetica" w:eastAsia="Helvetica" w:hAnsi="Helvetica" w:cs="Helvetica" w:hint="default"/>
                <w:i w:val="0"/>
                <w:iCs w:val="0"/>
                <w:caps w:val="0"/>
                <w:color w:val="000000"/>
                <w:spacing w:val="8"/>
                <w:sz w:val="25"/>
                <w:szCs w:val="25"/>
              </w:rPr>
              <w:t>表型</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红色</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长形</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红色</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椭圆形</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红色</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圆形</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紫色</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长形</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紫色</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椭圆形</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紫色</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圆形</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白色</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长形</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白色</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椭圆形</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白色</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圆形</w:t>
            </w:r>
          </w:p>
        </w:tc>
      </w:tr>
      <w:tr>
        <w:tblPrEx>
          <w:tblW w:w="10155" w:type="dxa"/>
          <w:tblInd w:w="0" w:type="dxa"/>
          <w:shd w:val="clear" w:color="auto" w:fill="FFFFFF"/>
          <w:tblCellMar>
            <w:top w:w="0" w:type="dxa"/>
            <w:left w:w="0" w:type="dxa"/>
            <w:bottom w:w="0" w:type="dxa"/>
            <w:right w:w="0" w:type="dxa"/>
          </w:tblCellMar>
        </w:tblPrEx>
        <w:trPr>
          <w:trHeight w:val="33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比例</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4</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1</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2</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75" w:type="dxa"/>
              <w:left w:w="150" w:type="dxa"/>
              <w:bottom w:w="75" w:type="dxa"/>
              <w:right w:w="150" w:type="dxa"/>
            </w:tcMar>
            <w:vAlign w:val="center"/>
          </w:tcPr>
          <w:p>
            <w:pPr>
              <w:pStyle w:val="NormalWeb"/>
              <w:keepNext w:val="0"/>
              <w:keepLines w:val="0"/>
              <w:widowControl/>
              <w:suppressLineNumbers w:val="0"/>
              <w:pBdr>
                <w:top w:val="none" w:sz="0" w:space="0" w:color="auto"/>
                <w:left w:val="none" w:sz="0" w:space="0" w:color="auto"/>
                <w:bottom w:val="none" w:sz="0" w:space="0" w:color="auto"/>
                <w:right w:val="none" w:sz="0" w:space="0" w:color="auto"/>
              </w:pBdr>
              <w:wordWrap w:val="0"/>
              <w:spacing w:before="0" w:beforeAutospacing="0" w:after="75" w:afterAutospacing="0" w:line="420" w:lineRule="atLeast"/>
              <w:ind w:left="0" w:right="0"/>
              <w:jc w:val="both"/>
            </w:pPr>
            <w:r>
              <w:rPr>
                <w:rFonts w:ascii="Helvetica" w:eastAsia="Helvetica" w:hAnsi="Helvetica" w:cs="Helvetica" w:hint="default"/>
                <w:i w:val="0"/>
                <w:iCs w:val="0"/>
                <w:caps w:val="0"/>
                <w:color w:val="000000"/>
                <w:spacing w:val="8"/>
                <w:sz w:val="25"/>
                <w:szCs w:val="25"/>
              </w:rPr>
              <w:t>1</w:t>
            </w:r>
          </w:p>
        </w:tc>
      </w:tr>
    </w:tbl>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注：假设不同基因型植株个体及配子的存活率相同</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（1）控制萝卜颜色和形状的两对基因的遗传_____（填“遵循”或“不遵循”）孟德尔第二定律。</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（2）为验证上述结论，以F</w:t>
      </w:r>
      <w:r>
        <w:rPr>
          <w:rFonts w:ascii="Helvetica" w:eastAsia="Helvetica" w:hAnsi="Helvetica" w:cs="Helvetica" w:hint="default"/>
          <w:color w:val="000000"/>
          <w:vertAlign w:val="subscript"/>
        </w:rPr>
        <w:t>1</w:t>
      </w:r>
      <w:r>
        <w:rPr>
          <w:rFonts w:ascii="Helvetica" w:eastAsia="Helvetica" w:hAnsi="Helvetica" w:cs="Helvetica" w:hint="default"/>
          <w:color w:val="000000"/>
        </w:rPr>
        <w:t>为实验材料，设计实验进行验证：</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①选择萝卜表型为_____和红色长形的植株作亲本进行杂交实验。</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②若子代表型及其比例为_____，则上述结论得到验证。</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（3）表中F</w:t>
      </w:r>
      <w:r>
        <w:rPr>
          <w:rFonts w:ascii="Helvetica" w:eastAsia="Helvetica" w:hAnsi="Helvetica" w:cs="Helvetica" w:hint="default"/>
          <w:color w:val="000000"/>
          <w:vertAlign w:val="subscript"/>
        </w:rPr>
        <w:t>1</w:t>
      </w:r>
      <w:r>
        <w:rPr>
          <w:rFonts w:ascii="Helvetica" w:eastAsia="Helvetica" w:hAnsi="Helvetica" w:cs="Helvetica" w:hint="default"/>
          <w:color w:val="000000"/>
        </w:rPr>
        <w:t>植株纯合子所占比例是_____；若表中F</w:t>
      </w:r>
      <w:r>
        <w:rPr>
          <w:rFonts w:ascii="Helvetica" w:eastAsia="Helvetica" w:hAnsi="Helvetica" w:cs="Helvetica" w:hint="default"/>
          <w:color w:val="000000"/>
          <w:vertAlign w:val="subscript"/>
        </w:rPr>
        <w:t>1</w:t>
      </w:r>
      <w:r>
        <w:rPr>
          <w:rFonts w:ascii="Helvetica" w:eastAsia="Helvetica" w:hAnsi="Helvetica" w:cs="Helvetica" w:hint="default"/>
          <w:color w:val="000000"/>
        </w:rPr>
        <w:t>随机传粉，F</w:t>
      </w:r>
      <w:r>
        <w:rPr>
          <w:rFonts w:ascii="Helvetica" w:eastAsia="Helvetica" w:hAnsi="Helvetica" w:cs="Helvetica" w:hint="default"/>
          <w:color w:val="000000"/>
          <w:vertAlign w:val="subscript"/>
        </w:rPr>
        <w:t>2</w:t>
      </w:r>
      <w:r>
        <w:rPr>
          <w:rFonts w:ascii="Helvetica" w:eastAsia="Helvetica" w:hAnsi="Helvetica" w:cs="Helvetica" w:hint="default"/>
          <w:color w:val="000000"/>
        </w:rPr>
        <w:t>植株中表型为紫色椭圆形萝卜的植株所占比例是_____。</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（4）食品工艺加工需大量使用紫色萝卜，为满足其需要，可在短时间内大量培育紫色萝卜种苗的技术是_____。</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25. 天然β淀粉酶大多耐热性差，不利于工业化应用。我国学者借助PCR改造β-淀粉酶基因，并将改造的基因与pLN23质粒重组后导入大肠杆菌，最终获得耐高温的β-淀粉酶。回答下列问题：</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（1）上述过程属于_____工程。</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（2）PCR中使用的聚合酶属于_____（填写编号）。</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①以DNA为模板的RNA聚合酶     ②以RNA为模板的RNA聚合酶</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③以DNA为模板的DNA聚合酶     ④以RNA为模板的DNA聚合酶</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（3）某天然β-淀粉酶由484个氨基酸构成，研究发现，将该酶第476位天冬氨酸替换为天冬酰胺，耐热性明显提升。在图1所示的β-淀粉酶基因改造方案中，含已替换碱基的引物是_____（填写编号）。</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drawing>
          <wp:inline distT="0" distB="0" distL="114300" distR="114300">
            <wp:extent cx="4543425" cy="1724025"/>
            <wp:effectExtent l="0" t="0" r="9525" b="9525"/>
            <wp:docPr id="21" name="图片 21"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IMG_260"/>
                    <pic:cNvPicPr>
                      <a:picLocks noChangeAspect="1"/>
                    </pic:cNvPicPr>
                  </pic:nvPicPr>
                  <pic:blipFill>
                    <a:blip xmlns:r="http://schemas.openxmlformats.org/officeDocument/2006/relationships" r:embed="rId22"/>
                    <a:stretch>
                      <a:fillRect/>
                    </a:stretch>
                  </pic:blipFill>
                  <pic:spPr>
                    <a:xfrm>
                      <a:off x="0" y="0"/>
                      <a:ext cx="4543425" cy="1724025"/>
                    </a:xfrm>
                    <a:prstGeom prst="rect">
                      <a:avLst/>
                    </a:prstGeom>
                    <a:noFill/>
                    <a:ln w="9525">
                      <a:noFill/>
                    </a:ln>
                  </pic:spPr>
                </pic:pic>
              </a:graphicData>
            </a:graphic>
          </wp:inline>
        </w:drawing>
      </w:r>
      <w:r>
        <w:rPr>
          <w:rFonts w:ascii="Helvetica" w:eastAsia="Helvetica" w:hAnsi="Helvetica" w:cs="Helvetica" w:hint="default"/>
          <w:color w:val="000000"/>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（4）为了使上述改造后的基因能在大肠杆菌中高效表达，由图2所示的pLN23质粒构建得到基因表达载体。除图示信息外，基因表达载体中还应该有目的基因（即改造后的基因）和_____。</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drawing>
          <wp:inline distT="0" distB="0" distL="114300" distR="114300">
            <wp:extent cx="3019425" cy="1533525"/>
            <wp:effectExtent l="0" t="0" r="9525" b="9525"/>
            <wp:docPr id="18" name="图片 22"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2" descr="IMG_261"/>
                    <pic:cNvPicPr>
                      <a:picLocks noChangeAspect="1"/>
                    </pic:cNvPicPr>
                  </pic:nvPicPr>
                  <pic:blipFill>
                    <a:blip xmlns:r="http://schemas.openxmlformats.org/officeDocument/2006/relationships" r:embed="rId23"/>
                    <a:stretch>
                      <a:fillRect/>
                    </a:stretch>
                  </pic:blipFill>
                  <pic:spPr>
                    <a:xfrm>
                      <a:off x="0" y="0"/>
                      <a:ext cx="3019425" cy="1533525"/>
                    </a:xfrm>
                    <a:prstGeom prst="rect">
                      <a:avLst/>
                    </a:prstGeom>
                    <a:noFill/>
                    <a:ln w="9525">
                      <a:noFill/>
                    </a:ln>
                  </pic:spPr>
                </pic:pic>
              </a:graphicData>
            </a:graphic>
          </wp:inline>
        </w:drawing>
      </w:r>
      <w:r>
        <w:rPr>
          <w:rFonts w:ascii="Helvetica" w:eastAsia="Helvetica" w:hAnsi="Helvetica" w:cs="Helvetica" w:hint="default"/>
          <w:color w:val="000000"/>
        </w:rPr>
        <w:t>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（5）目的基因（不含EcoRI酶切位点）全长为1．5kb，将其插入BamH I位点。用EcoR I酶切来自于不同大肠杆菌菌落的质粒DNA，经琼脂糖凝胶电泳确定DNA片段长度，这一操作的目的是_____。正确连接的基因表达载体被EcoR Ⅰ酶切后长度为_____kb。</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pPr>
      <w:r>
        <w:rPr>
          <w:rFonts w:ascii="Helvetica" w:eastAsia="Helvetica" w:hAnsi="Helvetica" w:cs="Helvetica" w:hint="default"/>
          <w:color w:val="000000"/>
        </w:rPr>
        <w:t>（6）采用PCR还能在分子水平上确定目的基因是否转录，根据中心法则，可通过_____反应获得PCR的模板。    </w:t>
      </w: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rPr>
          <w:rFonts w:ascii="Helvetica" w:eastAsia="Helvetica" w:hAnsi="Helvetica" w:cs="Helvetica" w:hint="default"/>
          <w:color w:val="000000"/>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i w:val="0"/>
          <w:iCs w:val="0"/>
          <w:caps w:val="0"/>
          <w:color w:val="000000"/>
          <w:spacing w:val="9"/>
          <w:sz w:val="21"/>
          <w:szCs w:val="21"/>
          <w:shd w:val="clear" w:color="auto" w:fill="FFFFFF"/>
        </w:rPr>
      </w:pPr>
    </w:p>
    <w:p>
      <w:pPr>
        <w:pStyle w:val="NormalWeb"/>
        <w:keepNext w:val="0"/>
        <w:keepLines w:val="0"/>
        <w:widowControl/>
        <w:suppressLineNumbers w:val="0"/>
        <w:pBdr>
          <w:top w:val="none" w:sz="0" w:space="0" w:color="auto"/>
          <w:left w:val="none" w:sz="0" w:space="0" w:color="auto"/>
          <w:bottom w:val="none" w:sz="0" w:space="0" w:color="auto"/>
          <w:right w:val="none" w:sz="0" w:space="0" w:color="auto"/>
        </w:pBdr>
        <w:spacing w:before="0" w:beforeAutospacing="0" w:after="75" w:afterAutospacing="0" w:line="420" w:lineRule="atLeast"/>
        <w:ind w:left="0" w:right="0"/>
        <w:jc w:val="left"/>
        <w:rPr>
          <w:rFonts w:ascii="Helvetica" w:eastAsia="Helvetica" w:hAnsi="Helvetica" w:cs="Helvetica" w:hint="default"/>
          <w:color w:val="000000"/>
        </w:rPr>
      </w:pPr>
      <w:bookmarkStart w:id="0" w:name="_GoBack"/>
      <w:bookmarkEnd w:id="0"/>
    </w:p>
    <w:sectPr>
      <w:footerReference w:type="default" r:id="rId24"/>
      <w:pgSz w:w="11906" w:h="16838"/>
      <w:pgMar w:top="1440" w:right="1080" w:bottom="1440" w:left="1080" w:header="851" w:footer="992" w:gutter="0"/>
      <w:pgNumType w:fmt="decimal"/>
      <w:cols w:num="1" w:space="425"/>
      <w:titlePg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148F1FBB"/>
    <w:rsid w:val="48223766"/>
  </w:rsids>
  <w:docVars>
    <w:docVar w:name="commondata" w:val="eyJoZGlkIjoiN2NkOGZkOWU2NWZhMzZhNDZmMjRmYjAyYjQ0ZmMyNjg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heme="minorEastAsia"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4"/>
      <w:lang w:val="en-US" w:eastAsia="zh-CN" w:bidi="ar-SA"/>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NormalWeb">
    <w:name w:val="Normal (Web)"/>
    <w:basedOn w:val="Normal"/>
    <w:pPr>
      <w:spacing w:before="0" w:beforeAutospacing="1" w:after="0" w:afterAutospacing="1"/>
      <w:ind w:left="0" w:right="0"/>
      <w:jc w:val="left"/>
    </w:pPr>
    <w:rPr>
      <w:kern w:val="0"/>
      <w:sz w:val="24"/>
      <w:lang w:val="en-US" w:eastAsia="zh-CN" w:bidi="ar"/>
    </w:rPr>
  </w:style>
  <w:style w:type="character" w:styleId="Strong">
    <w:name w:val="Strong"/>
    <w:basedOn w:val="DefaultParagraphFont"/>
    <w:qFormat/>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footer" Target="footer1.xml" /><Relationship Id="rId25" Type="http://schemas.openxmlformats.org/officeDocument/2006/relationships/theme" Target="theme/theme1.xml" /><Relationship Id="rId26"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