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" w:hAnsi="Times" w:cs="Times"/>
          <w:sz w:val="32"/>
          <w:sz-cs w:val="32"/>
        </w:rPr>
        <w:t xml:space="preserve">2012年普通高等学校招生全国统一考试（四川卷）</w:t>
      </w:r>
    </w:p>
    <w:p>
      <w:pPr>
        <w:jc w:val="center"/>
      </w:pPr>
      <w:r>
        <w:rPr>
          <w:rFonts w:ascii="Times" w:hAnsi="Times" w:cs="Times"/>
          <w:sz w:val="36"/>
          <w:sz-cs w:val="36"/>
        </w:rPr>
        <w:t xml:space="preserve">语 文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第一部分 （选择题 共30分）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一、（12分，每小题3分）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2．下列词语中，没有错别字的一组是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A．讳疾忌医    微言大义    万事具备，只欠东风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B．磐竹难书    两全其美    一言既出，驷马难追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C．掷地有声    曲意逢迎    桃李不言，下自成蹊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D．至高无上    原型必露    失之东隅，收之桑榆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4．下列各句中，没有语病的一句是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A．我国首座自主建造、设计、开发的第六代深水半潜式钻井平台，在我国南海海域正式开钻，标志着我国海洋石油工业深水战略迈出了实质性步伐。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B．近年来世界艺术品拍卖价格屡创新高，许多有眼光的国际大商人纷纷购买、收藏有价值的艺术品，希望以这种投资方式实现资产保值和增值。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C．1999～2011年间，我国造林6643.36万公顷，人工林面积位居世界第一，但是土地沙漠化、植被覆盖率和森林病虫害等依然十分严重，令人担忧。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D．今年5月在北京举行的大学生文艺汇演，展现了新时代大学生的多才多艺创造活力，具有民族特色的各类歌舞表现了民族团结和热情奔放。 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二、（9分，每小题3分） 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阅读下面的文字，完成5～7题。 </w:t>
      </w:r>
      <w:r>
        <w:rPr>
          <w:rFonts w:ascii="Times" w:hAnsi="Times" w:cs="Times"/>
          <w:sz w:val="4"/>
          <w:sz-cs w:val="4"/>
          <w:color w:val="FFFFFF"/>
        </w:rPr>
        <w:t xml:space="preserve">[来源:学,科,网]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警惕汞污染</w:t>
      </w:r>
      <w:r>
        <w:rPr>
          <w:rFonts w:ascii="Times" w:hAnsi="Times" w:cs="Times"/>
          <w:sz w:val="4"/>
          <w:sz-cs w:val="4"/>
          <w:color w:val="FFFFFF"/>
        </w:rPr>
        <w:t xml:space="preserve">[来源:学科网ZXXK]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1953年，日本水俣湾附近发现了一种“怪病”，称为“水俣病”。这种病症最初出现在猫身上，病猫步态不稳，抽搐、麻痹，甚至跳海而死。不久，陆续发现了患这种病症的人。患者步履蹒跚，手足麻痹乃至变形，神经错乱甚至死亡。后来发现，这不是传染病，而是工业废水排放污染造成的公害病。水俣湾一家化工厂生产氯乙烯和醋酸乙烯使用了含汞的催化剂，排放的废水中含有大量的汞。其中有的是甲基汞，有的是无机汞，而无机汞会与水体或水生物的有机物反应生成甲基汞。甲基汞的脂溶性非常强，可以在生物体内逐渐富集并通过食物链最终进入人体，被肠胃吸收，侵害人的中枢神经细胞。公司和政府对水俣病的认定只考虑直接接触甲基汞所导致的症状，而这种症状与甲基汞通过食物链进入人体所导致的症状不完本相同。因此，只有部分水俣病患者获得认定。 </w:t>
      </w:r>
      <w:r>
        <w:rPr>
          <w:rFonts w:ascii="Times" w:hAnsi="Times" w:cs="Times"/>
          <w:sz w:val="4"/>
          <w:sz-cs w:val="4"/>
          <w:color w:val="FFFFFF"/>
        </w:rPr>
        <w:t xml:space="preserve">[来源:学科网ZXXK]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水体中汞污染是人类健康的隐患。因为水中的微量汞，经过水中食物链（如：浮游植物浮游动物小鱼大鱼）的逐级转移，在食物链顶级生物体内可以富集到数千至数十万倍。以美国金枪鱼罐头为例，1953年含汞量为0.08PPM［注］，到了2005年就增长至1.79PPM。对以鳌鱼和鲸为主要食物来源的法罗群岛居民的追踪调查发现，他们的血汞含量可能是全世界人群中最高的，达到6PPM。鱼类体内的汞主要为甲基汞，其百分比随着鱼龄增加而增加，一年生的鱼所含汞中的甲基汞的31%—35%，8—12年的鱼所含汞中的甲基汞为67%—100%。在一般情况下调查和监测鱼类的含汞量，对于了解水域汞污染程度十分必要。 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目前全球人为活动向大气排放的汞达2000吨/年。汞很容易蒸发到大气中，并且能够随着空气团作全球范围的迁移，在大气中停留几个月甚至一年。在不同的条件下，它会发生沉降，并在当地食物链生物体内聚积。由于汞的这种属性，它被联合国环境规划署列为全球性污染物，是除了温室气体外唯一一种对全球范围产生影响的化学物质。 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我国是汞生产和消费大国，十分重视汞污染防治研究。有研究表明：中国汞污染的健康影响途径与其他国家不同，不能照搬欧美研究成果评价中国汞污染情况，如在北美和北欧地区，某些鱼类体内的汞浓度具有一定的指标性意义，但我国贵州即使在汞污染较严重的地区，鱼体内汞含量却相对较低。另有研究发现：汽车尾气中的汞进入到空气中后，可以被植物吸收，因此路旁植物中汞的含量要高于公园中的植物；北京市汞污染的主要来源是煤和汽油燃烧的汞释放、化工厂的汞排放，贵阳市的汞污染原因则是土壤高汞背景值以及原煤汞含量高。 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垃圾焚烧是汞污染的又一个主要来源。垃圾中的汞主要来自电池、体温计、日光灯等，如果能对含汞废弃物采取比一般生活垃圾更严格的处理措施，将有利于减少汞污染。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［注］PPM：即百万分之一。</w:t>
      </w:r>
    </w:p>
    <w:p>
      <w:pPr>
        <w:jc w:val="both"/>
        <w:ind w:first-line="315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7．根据原文提供的信息，以下推断不正确的一项是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A．植物中汞含量与植物所处的地理环境密切相关。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B．不同类型的城市其汞污染的主要来源存在差异。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C．直接焚烧含汞的废弃物会把汞排放到大气之中。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D．人类活动较少的北极上空大气中的汞浓度最低。 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三、（9分，每小题3分） 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阅读下面的文言文，完成8～10题。 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贺钦，字克恭，世家定海，父孟员，以戎籍隶辽之义州卫。钦少颖敏，习举子业辄鄙之曰：“为学止于是耶？”取《近思录》读之，有省。成化二年以进士授户科给事中。因亢旱上章极谏，复以言官旷职召灾，自劾求退。会陈献章被征来京师，钦听其论学，叹曰：“至性不显，真理犹霾，</w:t>
      </w:r>
      <w:r>
        <w:rPr>
          <w:rFonts w:ascii="Times" w:hAnsi="Times" w:cs="Times"/>
          <w:sz w:val="21"/>
          <w:sz-cs w:val="21"/>
          <w:u w:val="single"/>
        </w:rPr>
        <w:t xml:space="preserve">世即用我，而我奚以为用？</w:t>
      </w:r>
      <w:r>
        <w:rPr>
          <w:rFonts w:ascii="Times" w:hAnsi="Times" w:cs="Times"/>
          <w:sz w:val="21"/>
          <w:sz-cs w:val="21"/>
        </w:rPr>
        <w:t xml:space="preserve">”即日上疏解官去，执弟子礼事献章。既别，肖其像事之。其学专读《五经》、《四书》、小学，期于反身实践，主敬以收放心。有来学者，辄辞之曰：“己尚未治，何以治人？”</w:t>
      </w:r>
      <w:r>
        <w:rPr>
          <w:rFonts w:ascii="Times" w:hAnsi="Times" w:cs="Times"/>
          <w:sz w:val="21"/>
          <w:sz-cs w:val="21"/>
          <w:u w:val="single"/>
        </w:rPr>
        <w:t xml:space="preserve">既而从游者甚众，磨砻淬厉，成其器业。</w:t>
      </w:r>
      <w:r>
        <w:rPr>
          <w:rFonts w:ascii="Times" w:hAnsi="Times" w:cs="Times"/>
          <w:sz w:val="21"/>
          <w:sz-cs w:val="21"/>
        </w:rPr>
        <w:t xml:space="preserve">如是者十余年，虽不出户庭，而官贵人闻风仰德者，莫不躬拜床下。 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弘治改元，用阁臣荐，起为陕西右参议。玺书至而母适病死，乃上疏恳辞。正德四年，太监刘瑾括辽东田，东人震恐思乱。义州以守臣贪残变先发，聚众劫掠，顾相戒曰：“毋惊贺黄门。”钦闻之，往谕曰：“若等吾乡人也，今不幸至此，然吾窃为若等忧，镇城兵不即至耶，如之何？”众初汹汹，至是知悔，罗拜而泣呼曰：“吾父之，愿教之。”钦曰：“惟不杀人，祸可恨。</w:t>
      </w:r>
      <w:r>
        <w:rPr>
          <w:rFonts w:ascii="Times" w:hAnsi="Times" w:cs="Times"/>
          <w:sz w:val="21"/>
          <w:sz-cs w:val="21"/>
          <w:u w:val="single"/>
        </w:rPr>
        <w:t xml:space="preserve">守臣激变，民则无辜，能止杀以待命，尚不失为良民也。</w:t>
      </w:r>
      <w:r>
        <w:rPr>
          <w:rFonts w:ascii="Times" w:hAnsi="Times" w:cs="Times"/>
          <w:sz w:val="21"/>
          <w:sz-cs w:val="21"/>
        </w:rPr>
        <w:t xml:space="preserve">良民何畏焉？”未几，有言镇城军果至者，众复噪曰：“贺黄门无嫚语。”环跪钦里门。钦曰：“吾固知有是也。城中扰攘至此，镇城焉得不发兵？兵虽至，尔等不杀人，必宥尔，无恐。”众散去，乱遂定。时又有边将诈诱杀为阵获者，上官按之不得实，一见钦即惭伏地曰：“他人可欺，吾敢欺贺先生耶？”其至诚感人如此。 </w:t>
      </w:r>
      <w:r>
        <w:rPr>
          <w:rFonts w:ascii="Times" w:hAnsi="Times" w:cs="Times"/>
          <w:sz w:val="4"/>
          <w:sz-cs w:val="4"/>
          <w:color w:val="FFFFFF"/>
        </w:rPr>
        <w:t xml:space="preserve">[来源:学科网]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钦处家笃恩谊，正伦理，厚姻戚，睦宗党。冠婚丧祭一遵古礼，不根之言纤毫不入于耳，子姓必薰陶之以孝弟之义。日改月化，一乡人皆兴于善。里俗溺于异端，丧葬皆作佛事，啖酒肉，肆为奢僭，钦以身范之。晚更好《易》，究心象数，手不释卷，大臣荐引相属，终不起。少尝隐居医无闾山，因以医闾自号，人遂称为医闾先生。</w:t>
      </w:r>
    </w:p>
    <w:p>
      <w:pPr>
        <w:jc w:val="right"/>
      </w:pPr>
      <w:r>
        <w:rPr>
          <w:rFonts w:ascii="Times" w:hAnsi="Times" w:cs="Times"/>
          <w:sz w:val="21"/>
          <w:sz-cs w:val="21"/>
        </w:rPr>
        <w:t xml:space="preserve">（节选自清光绪五年《镇海县志》卷二十一《人物传二·明一》）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第二部分（非选择题 共120分）</w:t>
      </w:r>
      <w:r>
        <w:rPr>
          <w:rFonts w:ascii="Times" w:hAnsi="Times" w:cs="Times"/>
          <w:sz w:val="4"/>
          <w:sz-cs w:val="4"/>
          <w:color w:val="FFFFFF"/>
        </w:rPr>
        <w:t xml:space="preserve">[来源:学科网ZXXK]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四、（23分） 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11．把第一部分文言文阅读材料中划横线的句子翻译成现代汉语（10分） 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（1）世即用我，而我奚以为用？（3分） 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（2）既而从游者甚众，磨砻淬厉，成其器业。（3分） 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（3）守臣激变，民则无辜，能止杀以待命，尚不失为良民也。（4分）</w:t>
      </w:r>
      <w:r>
        <w:rPr>
          <w:rFonts w:ascii="Times" w:hAnsi="Times" w:cs="Times"/>
          <w:sz w:val="4"/>
          <w:sz-cs w:val="4"/>
          <w:color w:val="FFFFFF"/>
        </w:rPr>
        <w:t xml:space="preserve">[来源:学科网]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12.阅读下面这首诗，然后回答问题（8分） 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子 规【注】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[元]曹伯启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蜀魄曾为古帝王，千声万血送年芳。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贪夫倦听空低首，远客初闻已断肠。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锦水春残花似雨，楚天梦觉月如霜。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催归催得谁归去，唯有东郊农事忙。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【注】子规：即杜鹃，又名蜀魄、蜀魂、催归，相传为古蜀王杜宇所化。 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（1）本诗第二联中的“空”字极富韵味。请结合诗句简要赏析（3分） 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（2）本诗主要表达了怎样的情感？请任选能表现这种情感的两个意象简要分析。（5分）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五、（22分）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阅读下面的文字，完成14～17题。</w:t>
      </w:r>
      <w:r>
        <w:rPr>
          <w:rFonts w:ascii="Times" w:hAnsi="Times" w:cs="Times"/>
          <w:sz w:val="4"/>
          <w:sz-cs w:val="4"/>
          <w:color w:val="FFFFFF"/>
        </w:rPr>
        <w:t xml:space="preserve">[来源:学*科*网Z*X*X*K]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柴禾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刘亮程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①我们搬离黄沙梁时，那垛烧剩下一半的梭梭柴，也几乎一根不留地装上车，拉到了元兴宫村。元兴宫离煤矿很近，取暖做饭都烧煤，那些柴禾因此留了下来。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②柴垛是家力的象征。有一大垛柴禾的人家，必定有一头壮牲口、一辆好车、一根又粗又长的刹车绳，当然，还有几个能干的人，这些好东西凑巧对在一起了就能成大事、出大景象。可是，这些好东西又很难全对在一起。有的人家有一头壮牛，车却破破烂烂，经常坏在远路上，满车的东西扔掉，让牛拉着空车逛荡回来。有的人家正好相反，置了辆新车，能装几千斤东西，牛却体弱得不行，拉半车干柴都打摆子。还有的人家，车、马都配地道了，刹车绳也是新的，人却不行了——死了，或者老得干不动活。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③我们刚到父亲的住处时，家里的牛、车还算齐备，只是牛稍老了些。柴垛虽不高，柴禾底子却很厚大排场。不像一般人家的柴禾，小小气气的一堆，都不敢叫柴垛。先是后父带我们进沙漠拉柴，接着大哥单独赶车进沙漠拉柴，接着是我、三弟，等到四弟能单独进沙漠拉柴时，我们已另买了头黑母牛，车轱辘也换成新的，柴垛更是没有哪家可比，全是梭梭柴，大棵的，码得跟房一样高，劈一根柴就能烧半天。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④现在，我们再不会烧这些柴禾了。我们把它们当没用的东西乱扔在院子，却又舍不得送人或扔掉。我们想，或许哪一天没有煤了，没有暖气了，还要靠它烧饭取暖。只是到了那时我们已不懂得怎样烧它。劈柴的那把斧头几经搬家已扔得不见，家里已没有可以烧柴禾的炉子。即便这样我们也没扔掉那些柴禾，再搬一次家还会带上它们，它们是家的一部分。那个墙根就应该码着柴禾，那个院角垛着草，中间停着车，柱子上拴着牛和驴。一个完整的家院就应该是这样的。许多个冬天，那些柴禾埋在深雪里，尽管从没人去动它们。但我们知道那堆雪中埋着柴禾，我们在心里需要它们，它让我们放心地度过一个个寒冬。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⑤那堆梭梭柴就这样在院墙根呆了20年，没有谁去管过它们。有一年扩菜地，往墙角移过一次，比以前轻多了，扔过去便断成几截子，颜色也由原来的铁青变成灰黑。另一年一棵葫芦秧爬到柴堆上，肥大的叶子几乎把柴禾全遮盖住，那该是它们最凉爽的一个夏季了，秋天我们为摘一棵大葫芦走到这个墙角，葫芦卡在横七竖八的柴堆中，搬移柴禾时我又一次感觉到它们腐朽的程度，除此之外似乎再没有人动过。在那个墙角里它们独自过了许多年，静悄悄地自己朽掉了。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⑥最后，它们变成一堆灰时，我可以说，我们没有烧它，它们自己变成这样的。我们一直看着它们变成了这样，</w:t>
      </w:r>
      <w:r>
        <w:rPr>
          <w:rFonts w:ascii="Times" w:hAnsi="Times" w:cs="Times"/>
          <w:sz w:val="21"/>
          <w:sz-cs w:val="21"/>
          <w:u w:val="single"/>
        </w:rPr>
        <w:t xml:space="preserve">从第一滴雨落到它们身上、第一层青皮在风中开裂我们就看见了。它们根部的茬头朽掉，像土一样脱落在地时我们看见了。深处的木质开始发黑时我们看见了，全都看见了。</w:t>
      </w:r>
      <w:r>
        <w:rPr>
          <w:rFonts w:ascii="Times" w:hAnsi="Times" w:cs="Times"/>
          <w:sz w:val="21"/>
          <w:sz-cs w:val="21"/>
        </w:rPr>
        <w:t xml:space="preserve"> 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⑦当我死的时候，人们一样可以坦然地说，他是自己死掉的。墙说，我们只为他挡风御寒，从没堵他的路。坑说，我没陷害他，每次他都绕过去。风说，他的背不是我刮弯的。他的脸不是我吹旧的。眼睛不是我吹瞎的。雨说，我只淋湿他的头发和衣服，他的心是干燥的，雨下不到他心里。土说，我们埋不住这个人，梦中他飞得比所有尘土都高。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⑧可是，我不会说。没谁听见一个死掉的人怎么说。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⑨我一样没听见一堆成灰的梭梭柴，最后说了什么。 </w:t>
      </w:r>
    </w:p>
    <w:p>
      <w:pPr>
        <w:jc w:val="right"/>
      </w:pPr>
      <w:r>
        <w:rPr>
          <w:rFonts w:ascii="Times" w:hAnsi="Times" w:cs="Times"/>
          <w:sz w:val="21"/>
          <w:sz-cs w:val="21"/>
        </w:rPr>
        <w:t xml:space="preserve">（有删改）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六、（15分） 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18．下面是朱光潜《诗论》中的一段文字。请用一句话来概括朱光潜对陶渊明的评价，不超过15个字。（4分） 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自钟嵘推陶渊明为“隐逸诗人之宗”，一般人都着重渊明的隐逸一方面；值颜真卿作诗表白渊明眷恋晋室的心迹以后，一般人又看重渊明的忠贞一方面。渊明是隐士，却不是一般人所想象的孤高自赏、不食人间烟火气，像《红楼梦》 里妙玉性格的那种隐士；渊明是忠臣，却也不是他自己所敬仰的荆轲、张良那样的忠臣。渊明还有极实际极平常的一方面，他处处都最近人情，保持着一个平常人的家常便饭的风格。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