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14</w:t>
      </w:r>
      <w:r>
        <w:rPr>
          <w:rFonts w:ascii="Times" w:hAnsi="Times" w:cs="Times"/>
          <w:sz w:val="21"/>
          <w:sz-cs w:val="21"/>
        </w:rPr>
        <w:t xml:space="preserve">、如图所示，与水平面夹角为</w:t>
      </w:r>
      <w:r>
        <w:rPr>
          <w:rFonts w:ascii="Times New Roman" w:hAnsi="Times New Roman" w:cs="Times New Roman"/>
          <w:sz w:val="21"/>
          <w:sz-cs w:val="21"/>
        </w:rPr>
        <w:t xml:space="preserve">30°</w:t>
      </w:r>
      <w:r>
        <w:rPr>
          <w:rFonts w:ascii="Times" w:hAnsi="Times" w:cs="Times"/>
          <w:sz w:val="21"/>
          <w:sz-cs w:val="21"/>
        </w:rPr>
        <w:t xml:space="preserve">的固定斜面上有一质量</w:t>
      </w:r>
      <w:r>
        <w:rPr>
          <w:rFonts w:ascii="Times New Roman" w:hAnsi="Times New Roman" w:cs="Times New Roman"/>
          <w:sz w:val="21"/>
          <w:sz-cs w:val="21"/>
        </w:rPr>
        <w:t xml:space="preserve">m=1.0kg</w:t>
      </w:r>
      <w:r>
        <w:rPr>
          <w:rFonts w:ascii="Times" w:hAnsi="Times" w:cs="Times"/>
          <w:sz w:val="21"/>
          <w:sz-cs w:val="21"/>
        </w:rPr>
        <w:t xml:space="preserve">的物体。细绳的一端摩擦不计的定滑轮与固定的弹簧秤相连。物体静止在斜面上，弹簧秤的示数为</w:t>
      </w:r>
      <w:r>
        <w:rPr>
          <w:rFonts w:ascii="Times New Roman" w:hAnsi="Times New Roman" w:cs="Times New Roman"/>
          <w:sz w:val="21"/>
          <w:sz-cs w:val="21"/>
        </w:rPr>
        <w:t xml:space="preserve">4.9N</w:t>
      </w:r>
      <w:r>
        <w:rPr>
          <w:rFonts w:ascii="Times" w:hAnsi="Times" w:cs="Times"/>
          <w:sz w:val="21"/>
          <w:sz-cs w:val="21"/>
        </w:rPr>
        <w:t xml:space="preserve">。关于物体受力的判断（取</w:t>
      </w:r>
      <w:r>
        <w:rPr>
          <w:rFonts w:ascii="Times New Roman" w:hAnsi="Times New Roman" w:cs="Times New Roman"/>
          <w:sz w:val="21"/>
          <w:sz-cs w:val="21"/>
        </w:rPr>
        <w:t xml:space="preserve">g=9.8m/s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），下列说法正确的是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FF0000"/>
        </w:rPr>
        <w:t xml:space="preserve">A.</w:t>
      </w:r>
      <w:r>
        <w:rPr>
          <w:rFonts w:ascii="Times" w:hAnsi="Times" w:cs="Times"/>
          <w:sz w:val="21"/>
          <w:sz-cs w:val="21"/>
          <w:color w:val="FF0000"/>
        </w:rPr>
        <w:t xml:space="preserve">斜面对物体的摩擦力大小为零</w:t>
      </w:r>
      <w:r>
        <w:rPr>
          <w:rFonts w:ascii="Times New Roman" w:hAnsi="Times New Roman" w:cs="Times New Roman"/>
          <w:sz w:val="24"/>
          <w:sz-cs w:val="24"/>
          <w:color w:val="FF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B. </w:t>
      </w:r>
      <w:r>
        <w:rPr>
          <w:rFonts w:ascii="Times" w:hAnsi="Times" w:cs="Times"/>
          <w:sz w:val="21"/>
          <w:sz-cs w:val="21"/>
        </w:rPr>
        <w:t xml:space="preserve">斜面对物体的摩擦力大小为</w:t>
      </w:r>
      <w:r>
        <w:rPr>
          <w:rFonts w:ascii="Times New Roman" w:hAnsi="Times New Roman" w:cs="Times New Roman"/>
          <w:sz w:val="21"/>
          <w:sz-cs w:val="21"/>
        </w:rPr>
        <w:t xml:space="preserve">4.9N</w:t>
      </w:r>
      <w:r>
        <w:rPr>
          <w:rFonts w:ascii="Times" w:hAnsi="Times" w:cs="Times"/>
          <w:sz w:val="21"/>
          <w:sz-cs w:val="21"/>
        </w:rPr>
        <w:t xml:space="preserve">，方向沿斜面向上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C. </w:t>
      </w:r>
      <w:r>
        <w:rPr>
          <w:rFonts w:ascii="Times" w:hAnsi="Times" w:cs="Times"/>
          <w:sz w:val="21"/>
          <w:sz-cs w:val="21"/>
        </w:rPr>
        <w:t xml:space="preserve">斜面对物体的摩擦力大小为</w:t>
      </w:r>
      <w:r>
        <w:rPr>
          <w:rFonts w:ascii="Times New Roman" w:hAnsi="Times New Roman" w:cs="Times New Roman"/>
          <w:sz w:val="21"/>
          <w:sz-cs w:val="21"/>
        </w:rPr>
        <w:t xml:space="preserve">4.9N</w:t>
      </w:r>
      <w:r>
        <w:rPr>
          <w:rFonts w:ascii="Times" w:hAnsi="Times" w:cs="Times"/>
          <w:sz w:val="21"/>
          <w:sz-cs w:val="21"/>
        </w:rPr>
        <w:t xml:space="preserve">，方向沿斜面向上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D. </w:t>
      </w:r>
      <w:r>
        <w:rPr>
          <w:rFonts w:ascii="Times" w:hAnsi="Times" w:cs="Times"/>
          <w:sz w:val="21"/>
          <w:sz-cs w:val="21"/>
        </w:rPr>
        <w:t xml:space="preserve">斜面对物体的摩擦力大小为</w:t>
      </w:r>
      <w:r>
        <w:rPr>
          <w:rFonts w:ascii="Times New Roman" w:hAnsi="Times New Roman" w:cs="Times New Roman"/>
          <w:sz w:val="21"/>
          <w:sz-cs w:val="21"/>
        </w:rPr>
        <w:t xml:space="preserve">4.9N</w:t>
      </w:r>
      <w:r>
        <w:rPr>
          <w:rFonts w:ascii="Times" w:hAnsi="Times" w:cs="Times"/>
          <w:sz w:val="21"/>
          <w:sz-cs w:val="21"/>
        </w:rPr>
        <w:t xml:space="preserve">，方向垂直斜面向上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F10B00"/>
        </w:rPr>
        <w:t xml:space="preserve">【答案】：A</w:t>
      </w: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17</w:t>
      </w:r>
      <w:r>
        <w:rPr>
          <w:rFonts w:ascii="Times" w:hAnsi="Times" w:cs="Times"/>
          <w:sz w:val="21"/>
          <w:sz-cs w:val="21"/>
        </w:rPr>
        <w:t xml:space="preserve">、功率为</w:t>
      </w:r>
      <w:r>
        <w:rPr>
          <w:rFonts w:ascii="Times New Roman" w:hAnsi="Times New Roman" w:cs="Times New Roman"/>
          <w:sz w:val="21"/>
          <w:sz-cs w:val="21"/>
        </w:rPr>
        <w:t xml:space="preserve">10W</w:t>
      </w:r>
      <w:r>
        <w:rPr>
          <w:rFonts w:ascii="Times" w:hAnsi="Times" w:cs="Times"/>
          <w:sz w:val="21"/>
          <w:sz-cs w:val="21"/>
        </w:rPr>
        <w:t xml:space="preserve">的发光二极管（</w:t>
      </w:r>
      <w:r>
        <w:rPr>
          <w:rFonts w:ascii="Times New Roman" w:hAnsi="Times New Roman" w:cs="Times New Roman"/>
          <w:sz w:val="21"/>
          <w:sz-cs w:val="21"/>
        </w:rPr>
        <w:t xml:space="preserve">LED</w:t>
      </w:r>
      <w:r>
        <w:rPr>
          <w:rFonts w:ascii="Times" w:hAnsi="Times" w:cs="Times"/>
          <w:sz w:val="21"/>
          <w:sz-cs w:val="21"/>
        </w:rPr>
        <w:t xml:space="preserve">灯）的亮度与功率</w:t>
      </w:r>
      <w:r>
        <w:rPr>
          <w:rFonts w:ascii="Times New Roman" w:hAnsi="Times New Roman" w:cs="Times New Roman"/>
          <w:sz w:val="21"/>
          <w:sz-cs w:val="21"/>
        </w:rPr>
        <w:t xml:space="preserve">60W</w:t>
      </w:r>
      <w:r>
        <w:rPr>
          <w:rFonts w:ascii="Times" w:hAnsi="Times" w:cs="Times"/>
          <w:sz w:val="21"/>
          <w:sz-cs w:val="21"/>
        </w:rPr>
        <w:t xml:space="preserve">的白炽灯相当。根据国家节能战略，</w:t>
      </w:r>
      <w:r>
        <w:rPr>
          <w:rFonts w:ascii="Times New Roman" w:hAnsi="Times New Roman" w:cs="Times New Roman"/>
          <w:sz w:val="21"/>
          <w:sz-cs w:val="21"/>
        </w:rPr>
        <w:t xml:space="preserve">2016</w:t>
      </w:r>
      <w:r>
        <w:rPr>
          <w:rFonts w:ascii="Times" w:hAnsi="Times" w:cs="Times"/>
          <w:sz w:val="21"/>
          <w:sz-cs w:val="21"/>
        </w:rPr>
        <w:t xml:space="preserve">年前普通白炽灯应被淘汰。假设每户家庭有二只</w:t>
      </w:r>
      <w:r>
        <w:rPr>
          <w:rFonts w:ascii="Times New Roman" w:hAnsi="Times New Roman" w:cs="Times New Roman"/>
          <w:sz w:val="21"/>
          <w:sz-cs w:val="21"/>
        </w:rPr>
        <w:t xml:space="preserve">60W</w:t>
      </w:r>
      <w:r>
        <w:rPr>
          <w:rFonts w:ascii="Times" w:hAnsi="Times" w:cs="Times"/>
          <w:sz w:val="21"/>
          <w:sz-cs w:val="21"/>
        </w:rPr>
        <w:t xml:space="preserve">的白炽灯，均用</w:t>
      </w:r>
      <w:r>
        <w:rPr>
          <w:rFonts w:ascii="Times New Roman" w:hAnsi="Times New Roman" w:cs="Times New Roman"/>
          <w:sz w:val="21"/>
          <w:sz-cs w:val="21"/>
        </w:rPr>
        <w:t xml:space="preserve">10w</w:t>
      </w:r>
      <w:r>
        <w:rPr>
          <w:rFonts w:ascii="Times" w:hAnsi="Times" w:cs="Times"/>
          <w:sz w:val="21"/>
          <w:sz-cs w:val="21"/>
        </w:rPr>
        <w:t xml:space="preserve">的</w:t>
      </w:r>
      <w:r>
        <w:rPr>
          <w:rFonts w:ascii="Times New Roman" w:hAnsi="Times New Roman" w:cs="Times New Roman"/>
          <w:sz w:val="21"/>
          <w:sz-cs w:val="21"/>
        </w:rPr>
        <w:t xml:space="preserve">LED</w:t>
      </w:r>
      <w:r>
        <w:rPr>
          <w:rFonts w:ascii="Times" w:hAnsi="Times" w:cs="Times"/>
          <w:sz w:val="21"/>
          <w:sz-cs w:val="21"/>
        </w:rPr>
        <w:t xml:space="preserve">灯替代，估算出全国一年节省的电能最接近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A.8</w:t>
      </w:r>
      <w:r>
        <w:rPr>
          <w:rFonts w:ascii="Times" w:hAnsi="Times" w:cs="Times"/>
          <w:sz w:val="21"/>
          <w:sz-cs w:val="21"/>
        </w:rPr>
        <w:t xml:space="preserve">╳</w:t>
      </w:r>
      <w:r>
        <w:rPr>
          <w:rFonts w:ascii="Times New Roman" w:hAnsi="Times New Roman" w:cs="Times New Roman"/>
          <w:sz w:val="21"/>
          <w:sz-cs w:val="21"/>
        </w:rPr>
        <w:t xml:space="preserve">10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8</w:t>
      </w:r>
      <w:r>
        <w:rPr>
          <w:rFonts w:ascii="Times New Roman" w:hAnsi="Times New Roman" w:cs="Times New Roman"/>
          <w:sz w:val="21"/>
          <w:sz-cs w:val="21"/>
        </w:rPr>
        <w:t xml:space="preserve">kW·h         </w:t>
      </w:r>
      <w:r>
        <w:rPr>
          <w:rFonts w:ascii="Times New Roman" w:hAnsi="Times New Roman" w:cs="Times New Roman"/>
          <w:sz w:val="21"/>
          <w:sz-cs w:val="21"/>
          <w:color w:val="FF0000"/>
        </w:rPr>
        <w:t xml:space="preserve"> B. 8</w:t>
      </w:r>
      <w:r>
        <w:rPr>
          <w:rFonts w:ascii="Times" w:hAnsi="Times" w:cs="Times"/>
          <w:sz w:val="21"/>
          <w:sz-cs w:val="21"/>
          <w:color w:val="FF0000"/>
        </w:rPr>
        <w:t xml:space="preserve">╳</w:t>
      </w:r>
      <w:r>
        <w:rPr>
          <w:rFonts w:ascii="Times New Roman" w:hAnsi="Times New Roman" w:cs="Times New Roman"/>
          <w:sz w:val="21"/>
          <w:sz-cs w:val="21"/>
          <w:color w:val="FF0000"/>
        </w:rPr>
        <w:t xml:space="preserve">10</w:t>
      </w:r>
      <w:r>
        <w:rPr>
          <w:rFonts w:ascii="Times New Roman" w:hAnsi="Times New Roman" w:cs="Times New Roman"/>
          <w:sz w:val="21"/>
          <w:sz-cs w:val="21"/>
          <w:vertAlign w:val="superscript"/>
          <w:color w:val="FF0000"/>
        </w:rPr>
        <w:t xml:space="preserve">10</w:t>
      </w:r>
      <w:r>
        <w:rPr>
          <w:rFonts w:ascii="Times New Roman" w:hAnsi="Times New Roman" w:cs="Times New Roman"/>
          <w:sz w:val="21"/>
          <w:sz-cs w:val="21"/>
          <w:color w:val="FF0000"/>
        </w:rPr>
        <w:t xml:space="preserve">kW·h  </w:t>
      </w:r>
      <w:r>
        <w:rPr>
          <w:rFonts w:ascii="Times New Roman" w:hAnsi="Times New Roman" w:cs="Times New Roman"/>
          <w:sz w:val="21"/>
          <w:sz-cs w:val="21"/>
        </w:rPr>
        <w:t xml:space="preserve">        C. 8</w:t>
      </w:r>
      <w:r>
        <w:rPr>
          <w:rFonts w:ascii="Times" w:hAnsi="Times" w:cs="Times"/>
          <w:sz w:val="21"/>
          <w:sz-cs w:val="21"/>
        </w:rPr>
        <w:t xml:space="preserve">╳</w:t>
      </w:r>
      <w:r>
        <w:rPr>
          <w:rFonts w:ascii="Times New Roman" w:hAnsi="Times New Roman" w:cs="Times New Roman"/>
          <w:sz w:val="21"/>
          <w:sz-cs w:val="21"/>
        </w:rPr>
        <w:t xml:space="preserve">10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11</w:t>
      </w:r>
      <w:r>
        <w:rPr>
          <w:rFonts w:ascii="Times New Roman" w:hAnsi="Times New Roman" w:cs="Times New Roman"/>
          <w:sz w:val="21"/>
          <w:sz-cs w:val="21"/>
        </w:rPr>
        <w:t xml:space="preserve">kW·h        D. 8</w:t>
      </w:r>
      <w:r>
        <w:rPr>
          <w:rFonts w:ascii="Times" w:hAnsi="Times" w:cs="Times"/>
          <w:sz w:val="21"/>
          <w:sz-cs w:val="21"/>
        </w:rPr>
        <w:t xml:space="preserve">╳</w:t>
      </w:r>
      <w:r>
        <w:rPr>
          <w:rFonts w:ascii="Times New Roman" w:hAnsi="Times New Roman" w:cs="Times New Roman"/>
          <w:sz w:val="21"/>
          <w:sz-cs w:val="21"/>
        </w:rPr>
        <w:t xml:space="preserve">10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13</w:t>
      </w:r>
      <w:r>
        <w:rPr>
          <w:rFonts w:ascii="Times New Roman" w:hAnsi="Times New Roman" w:cs="Times New Roman"/>
          <w:sz w:val="21"/>
          <w:sz-cs w:val="21"/>
        </w:rPr>
        <w:t xml:space="preserve">kW·h</w:t>
      </w:r>
    </w:p>
    <w:p>
      <w:pPr/>
      <w:r>
        <w:rPr>
          <w:rFonts w:ascii="Times New Roman" w:hAnsi="Times New Roman" w:cs="Times New Roman"/>
          <w:sz w:val="21"/>
          <w:sz-cs w:val="21"/>
          <w:color w:val="F10B00"/>
        </w:rPr>
        <w:t xml:space="preserve">【答案】：B</w:t>
      </w: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18</w:t>
      </w:r>
      <w:r>
        <w:rPr>
          <w:rFonts w:ascii="Times" w:hAnsi="Times" w:cs="Times"/>
          <w:sz w:val="21"/>
          <w:sz-cs w:val="21"/>
        </w:rPr>
        <w:t xml:space="preserve">、由光滑细管组成的轨道如图所示，其中</w:t>
      </w:r>
      <w:r>
        <w:rPr>
          <w:rFonts w:ascii="Times New Roman" w:hAnsi="Times New Roman" w:cs="Times New Roman"/>
          <w:sz w:val="21"/>
          <w:sz-cs w:val="21"/>
        </w:rPr>
        <w:t xml:space="preserve">AB</w:t>
      </w:r>
      <w:r>
        <w:rPr>
          <w:rFonts w:ascii="Times" w:hAnsi="Times" w:cs="Times"/>
          <w:sz w:val="21"/>
          <w:sz-cs w:val="21"/>
        </w:rPr>
        <w:t xml:space="preserve">段是半径为</w:t>
      </w:r>
      <w:r>
        <w:rPr>
          <w:rFonts w:ascii="Times New Roman" w:hAnsi="Times New Roman" w:cs="Times New Roman"/>
          <w:sz w:val="21"/>
          <w:sz-cs w:val="21"/>
        </w:rPr>
        <w:t xml:space="preserve">R</w:t>
      </w:r>
      <w:r>
        <w:rPr>
          <w:rFonts w:ascii="Times" w:hAnsi="Times" w:cs="Times"/>
          <w:sz w:val="21"/>
          <w:sz-cs w:val="21"/>
        </w:rPr>
        <w:t xml:space="preserve">的四分之一圆弧，轨道固定在竖直平面内。一质量为</w:t>
      </w:r>
      <w:r>
        <w:rPr>
          <w:rFonts w:ascii="Times New Roman" w:hAnsi="Times New Roman" w:cs="Times New Roman"/>
          <w:sz w:val="21"/>
          <w:sz-cs w:val="21"/>
        </w:rPr>
        <w:t xml:space="preserve">m</w:t>
      </w:r>
      <w:r>
        <w:rPr>
          <w:rFonts w:ascii="Times" w:hAnsi="Times" w:cs="Times"/>
          <w:sz w:val="21"/>
          <w:sz-cs w:val="21"/>
        </w:rPr>
        <w:t xml:space="preserve">的小球，从距离水平地面高为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" w:hAnsi="Times" w:cs="Times"/>
          <w:sz w:val="21"/>
          <w:sz-cs w:val="21"/>
        </w:rPr>
        <w:t xml:space="preserve">的管口</w:t>
      </w: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处静止释放，最后能够从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端水平抛出落到地面上。下列说法正确的是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 小球落到地面相对于A点的水平位移值为 EMBED Equation.DSMT4  QUOTE  </w:t>
      </w:r>
    </w:p>
    <w:p>
      <w:pPr/>
      <w:r>
        <w:rPr>
          <w:rFonts w:ascii="Times New Roman" w:hAnsi="Times New Roman" w:cs="Times New Roman"/>
          <w:sz w:val="21"/>
          <w:sz-cs w:val="21"/>
          <w:color w:val="FF0000"/>
        </w:rPr>
        <w:t xml:space="preserve">B. 小球落到地面相对于A点的水平位移值为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FF0000"/>
        </w:rPr>
        <w:t xml:space="preserve"> QUOTE  </w:t>
      </w:r>
    </w:p>
    <w:p>
      <w:pPr/>
      <w:r>
        <w:rPr>
          <w:rFonts w:ascii="Times New Roman" w:hAnsi="Times New Roman" w:cs="Times New Roman"/>
          <w:sz w:val="21"/>
          <w:sz-cs w:val="21"/>
          <w:color w:val="FF0000"/>
        </w:rPr>
        <w:t xml:space="preserve">C. 小球能从细管A端水平抛出的条件是H&gt;2R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D. 小球能从细管A端水平抛出的最小高度 EMBED Equation.DSMT4 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> QUOTE  </w:t>
      </w:r>
    </w:p>
    <w:p>
      <w:pPr/>
      <w:r>
        <w:rPr>
          <w:rFonts w:ascii="Times New Roman" w:hAnsi="Times New Roman" w:cs="Times New Roman"/>
          <w:sz w:val="21"/>
          <w:sz-cs w:val="21"/>
          <w:color w:val="F10B00"/>
        </w:rPr>
        <w:t xml:space="preserve">【答案】：BC</w:t>
      </w: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20、为了测量储罐中不导电液体的高度，将与储罐外面壳绝缘的两块平行金属板构成的电容C置于储罐中，电容器可通过开关S与线圈L或电源相连，如图所示。当开关从a拨到b时，由L与C构成的回路中产生周期 EMBED Equation.DSMT4  QUOTE  的振荡电流。当罐中的液面上升时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A.电容器的电容减小</w:t>
      </w:r>
    </w:p>
    <w:p>
      <w:pPr/>
      <w:r>
        <w:rPr>
          <w:rFonts w:ascii="Times New Roman" w:hAnsi="Times New Roman" w:cs="Times New Roman"/>
          <w:sz w:val="21"/>
          <w:sz-cs w:val="21"/>
          <w:color w:val="FF0000"/>
        </w:rPr>
        <w:t xml:space="preserve">B. 电容器的电容增大</w:t>
      </w:r>
    </w:p>
    <w:p>
      <w:pPr/>
      <w:r>
        <w:rPr>
          <w:rFonts w:ascii="Times New Roman" w:hAnsi="Times New Roman" w:cs="Times New Roman"/>
          <w:sz w:val="21"/>
          <w:sz-cs w:val="21"/>
          <w:color w:val="FF0000"/>
        </w:rPr>
        <w:t xml:space="preserve">C. LC回路的振荡频率减小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[来源:Z§xx§k.Com]</w:t>
      </w: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D. LC回路的振荡频率增大</w:t>
      </w:r>
    </w:p>
    <w:p>
      <w:pPr/>
      <w:r>
        <w:rPr>
          <w:rFonts w:ascii="Times New Roman" w:hAnsi="Times New Roman" w:cs="Times New Roman"/>
          <w:sz w:val="21"/>
          <w:sz-cs w:val="21"/>
          <w:color w:val="F10B00"/>
        </w:rPr>
        <w:t xml:space="preserve">【答案】：BC</w:t>
      </w: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21、（10分）在“测定玻璃的折射率”实验中，某同学经正确操作插好了4枚大头针，如图甲所示。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（1）在答题纸上相应的图中画出完整的光路图；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（2）对你画出的光路图进行测量和计算，求得该玻璃砖的折射率n=____________（保留3位有效数字）；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（3）为了观察光在玻璃砖不同表面的折射现象，某同学做了二次实验，经正确操作插好了8枚大头针，如图乙所示。图中P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和P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是同一入射光线上的2枚大头针，其对应出射光线上的2枚大头针是P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和_____________（填“A”和“B”）</w:t>
        <w:br/>
        <w:t xml:space="preserve"/>
      </w:r>
      <w:r>
        <w:rPr>
          <w:rFonts w:ascii="Times New Roman" w:hAnsi="Times New Roman" w:cs="Times New Roman"/>
          <w:sz w:val="21"/>
          <w:sz-cs w:val="21"/>
          <w:color w:val="F10B00"/>
        </w:rPr>
        <w:t xml:space="preserve">【答案】：(1)如图所示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F10B00"/>
        </w:rPr>
        <w:t xml:space="preserve">（2）1.51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F10B00"/>
        </w:rPr>
        <w:t xml:space="preserve">0.03</w:t>
      </w:r>
    </w:p>
    <w:p>
      <w:pPr/>
      <w:r>
        <w:rPr>
          <w:rFonts w:ascii="Times New Roman" w:hAnsi="Times New Roman" w:cs="Times New Roman"/>
          <w:sz w:val="21"/>
          <w:sz-cs w:val="21"/>
          <w:color w:val="F10B00"/>
        </w:rPr>
        <w:t xml:space="preserve">          (3)A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22、（10分）在“探究求合力的方法”实验中，现有木板、白纸、图钉、橡皮筋、细绳套和一把弹簧秤、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（1）为完成实验，某同学另找来一根弹簧，先测量其劲度系数，得到的实验数据如下表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用作图法求得该弹簧的</w:t>
      </w:r>
      <w:r>
        <w:rPr>
          <w:rFonts w:ascii="Times New Roman" w:hAnsi="Times New Roman" w:cs="Times New Roman"/>
          <w:sz w:val="21"/>
          <w:sz-cs w:val="21"/>
        </w:rPr>
        <w:t xml:space="preserve">劲度系数k =_________________N/m；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（2）某次实验中，弹簧的指针位置如图所示，其读数为_____________N，同时利用（3）中结果获得弹簧上的弹力值为2.50N，请在答题纸上画出这两个共点力的合力F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合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（3）由图得到F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合</w:t>
      </w:r>
      <w:r>
        <w:rPr>
          <w:rFonts w:ascii="Times New Roman" w:hAnsi="Times New Roman" w:cs="Times New Roman"/>
          <w:sz w:val="21"/>
          <w:sz-cs w:val="21"/>
        </w:rPr>
        <w:t xml:space="preserve">=__________N。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F10B00"/>
        </w:rPr>
        <w:t xml:space="preserve">【答案】：（1）</w:t>
      </w:r>
      <w:r>
        <w:rPr>
          <w:rFonts w:ascii="Times New Roman" w:hAnsi="Times New Roman" w:cs="Times New Roman"/>
          <w:sz w:val="21"/>
          <w:sz-cs w:val="21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F10B00"/>
        </w:rPr>
        <w:t xml:space="preserve">53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F10B00"/>
        </w:rPr>
        <w:t xml:space="preserve">（2） 2.10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F10B00"/>
        </w:rPr>
        <w:t xml:space="preserve">（3）3.3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F10B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F10B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(2)“A鱼”在水中运动时受到重力、浮力和阻力的作用，做匀减速运动，设加速度为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</w:rPr>
        <w:t xml:space="preserve">,有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</w:rPr>
        <w:t xml:space="preserve"> = 3 \* GB3 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</w:rPr>
        <w:t xml:space="preserve"> = 4 \* GB3 ④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</w:rPr>
        <w:t xml:space="preserve"> = 5 \* GB3 ⑤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由题得：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综合上述各式，得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</w:rPr>
        <w:t xml:space="preserve"> = 6 \* GB3 ⑥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24 、（20分）如图所示，二块水平放置、相距为d的长金属板接在电压可调的电源上。两板之间的右侧区域存在方向垂直纸面向里的匀强磁场。将喷墨打印机的喷口靠近上板下表面，从喷口连续不断喷出质量均为m、水平速度均为v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、带相等电荷量的墨滴。调节电源电压至U，墨滴在电场区域恰能沿水平向右做匀速直线运动，进入电场、磁场共存区域后，最终垂直打在下板的M点。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（1）判断墨滴所带电荷的种类，并求其电荷量；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（2）求磁感应强度B的值；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（3）现保持喷口方向不变，使其竖直下移到两板中间位置。为了使墨滴仍能到达下板M点应将磁感应强度调至B'，则B'的大小为多少？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（2）墨滴垂直进入电场、磁场共存区域，重力仍与电场力平衡，合力等于洛伦兹力，墨滴做匀速圆周运动，有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</w:rPr>
        <w:t xml:space="preserve"> = 4 \* GB3 ④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考虑到墨滴进入磁场和撞板的几何关系，可知墨滴在该区域恰完成四分之一圆周运动，则半径R=d = 5 \* GB3 ⑤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由 = 2 \* GB3 ② = 4 \* GB3 ④ = 5 \* GB3 ⑤式得到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4"/>
          <w:sz-cs w:val="24"/>
        </w:rPr>
        <w:t xml:space="preserve"> = 6 \* GB3 ⑥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25、（22分）为了提高自行车夜间行驶的安全性，小明同学设计了一种“闪烁”装置，如图所示，自行车后轮由半径r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=5.0╳10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-2</w:t>
      </w:r>
      <w:r>
        <w:rPr>
          <w:rFonts w:ascii="Times New Roman" w:hAnsi="Times New Roman" w:cs="Times New Roman"/>
          <w:sz w:val="21"/>
          <w:sz-cs w:val="21"/>
        </w:rPr>
        <w:t xml:space="preserve">m的金属内圈、半径r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0.40m的金属内圈和绝缘辐条构成。后轮的内、外圈之间等间隔地接有4根金属条，每根金属条的中间均串联有一电阻值为R的小灯泡。在支架上装有磁铁，形成了磁感应强度B=0.10T、方向垂直纸面向外的“扇形”匀强磁场，其内半径为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、外半径为r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、张角θ=π/6。后轮以角速度ω=2π rad/s相对于转轴转动。若不计其它电阻，忽略磁场的边缘效应。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（1）当金属条ab进入“扇形” 磁场时，求感应电动势E，并指出ab上的电流方向；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（2）当金属条ab进入“扇形” 磁场时，画出“闪烁”装置的电路图；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（3）从金属条ab进入“扇形” 磁场开始，经计算画出轮子转一圈过程中，内圈与外圈之间电势差Uab-t图象；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（4）若选择的是“1.5V、0.3A”的小灯泡，该“闪烁”装置能否正常工作？有同学提出，通过改变磁感应强度B、后轮外圈半径r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、角速度ω和张角θ等物理量的大小，优化前同学的设计方案，请给出你的评价。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根据右手定则（或愣次定律），可知感应电流方向为 EMBED Equation.DSMT4 。 = 4 \* GB3 ④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（2）通过分析，可得电路为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(4)“闪烁“装置不能正常工作。（金属条的电动势远小于小灯泡的额定电压，因此无法正常工作）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B增大，E增大，但有限度</w:t>
      </w:r>
    </w:p>
    <w:p>
      <w:pPr/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增大，E增大，但有限度</w:t>
      </w:r>
    </w:p>
    <w:p>
      <w:pPr/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增大，E增大，但有限度</w:t>
      </w:r>
    </w:p>
    <w:p>
      <w:pPr/>
      <w:r>
        <w:rPr>
          <w:rFonts w:ascii="Times" w:hAnsi="Times" w:cs="Times"/>
          <w:sz w:val="21"/>
          <w:sz-cs w:val="21"/>
        </w:rPr>
        <w:t xml:space="preserve">θ</w:t>
      </w:r>
      <w:r>
        <w:rPr>
          <w:rFonts w:ascii="Times New Roman" w:hAnsi="Times New Roman" w:cs="Times New Roman"/>
          <w:sz w:val="21"/>
          <w:sz-cs w:val="21"/>
        </w:rPr>
        <w:t xml:space="preserve">增大，E不变。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