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02616" w:rsidRDefault="00D02616">
      <w:pPr>
        <w:spacing w:line="360" w:lineRule="auto"/>
        <w:jc w:val="center"/>
        <w:textAlignment w:val="center"/>
        <w:rPr>
          <w:rFonts w:ascii="SimSun" w:hAnsi="SimSun"/>
          <w:b/>
          <w:sz w:val="32"/>
        </w:rPr>
      </w:pPr>
      <w:r>
        <w:rPr>
          <w:rFonts w:eastAsia="Times New Roman" w:cs="Times New Roman"/>
          <w:b/>
          <w:sz w:val="32"/>
        </w:rPr>
        <w:t>2021</w:t>
      </w:r>
      <w:r>
        <w:rPr>
          <w:rFonts w:ascii="SimSun" w:hAnsi="SimSun"/>
          <w:b/>
          <w:sz w:val="32"/>
        </w:rPr>
        <w:t>年天津市普通高中学业水平等级性考试</w:t>
      </w:r>
      <w:r w:rsidR="00AB4A91">
        <w:rPr>
          <w:noProof/>
        </w:rPr>
      </w:r>
      <w:r w:rsidR="00AB4A91">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 zxxk.com" style="width:.85pt;height:.85pt;mso-width-percent:0;mso-height-percent:0;mso-width-percent:0;mso-height-percent:0">
            <v:imagedata r:id="rId8" o:title=""/>
          </v:shape>
        </w:pict>
      </w:r>
    </w:p>
    <w:p w:rsidR="00D02616" w:rsidRDefault="00D02616">
      <w:pPr>
        <w:spacing w:line="360" w:lineRule="auto"/>
        <w:jc w:val="center"/>
        <w:textAlignment w:val="center"/>
        <w:rPr>
          <w:rFonts w:ascii="SimSun" w:hAnsi="SimSun"/>
          <w:b/>
          <w:sz w:val="32"/>
        </w:rPr>
      </w:pPr>
      <w:r>
        <w:rPr>
          <w:rFonts w:ascii="SimSun" w:hAnsi="SimSun"/>
          <w:b/>
          <w:sz w:val="32"/>
        </w:rPr>
        <w:t>生物学</w:t>
      </w:r>
      <w:r w:rsidR="00AB4A91">
        <w:rPr>
          <w:noProof/>
        </w:rPr>
      </w:r>
      <w:r w:rsidR="00AB4A91">
        <w:rPr>
          <w:noProof/>
        </w:rPr>
        <w:pict>
          <v:shape id="_x0000_i102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rPr>
      </w:pPr>
      <w:r>
        <w:t xml:space="preserve">1. </w:t>
      </w:r>
      <w:r>
        <w:rPr>
          <w:rFonts w:ascii="SimSun" w:hAnsi="SimSun"/>
        </w:rPr>
        <w:t>下列操作能达到灭菌目的的是（</w:t>
      </w:r>
      <w:r>
        <w:rPr>
          <w:rFonts w:eastAsia="Times New Roman" w:cs="Times New Roman"/>
        </w:rPr>
        <w:t xml:space="preserve">    </w:t>
      </w:r>
      <w:r>
        <w:rPr>
          <w:rFonts w:ascii="SimSun" w:hAnsi="SimSun"/>
        </w:rPr>
        <w:t>）</w:t>
      </w:r>
      <w:r w:rsidR="00AB4A91">
        <w:rPr>
          <w:noProof/>
        </w:rPr>
      </w:r>
      <w:r w:rsidR="00AB4A91">
        <w:rPr>
          <w:noProof/>
        </w:rPr>
        <w:pict>
          <v:shape id="_x0000_i1027" type="#_x0000_t75" alt="学科网 zxxk.com" style="width:.85pt;height:.85pt;mso-width-percent:0;mso-height-percent:0;mso-width-percent:0;mso-height-percent:0">
            <v:imagedata r:id="rId8" o:title=""/>
          </v:shape>
        </w:pict>
      </w:r>
    </w:p>
    <w:p w:rsidR="00D02616" w:rsidRDefault="00FC5860">
      <w:pPr>
        <w:tabs>
          <w:tab w:val="left" w:pos="4873"/>
        </w:tabs>
        <w:spacing w:line="360" w:lineRule="auto"/>
        <w:jc w:val="left"/>
        <w:textAlignment w:val="center"/>
        <w:rPr>
          <w:rFonts w:ascii="SimSun" w:hAnsi="SimSun"/>
        </w:rPr>
      </w:pPr>
      <w:r w:rsidRPr="00BE1BCD">
        <w:rPr>
          <w:rFonts w:hint="eastAsia"/>
        </w:rPr>
        <w:t xml:space="preserve">A. </w:t>
      </w:r>
      <w:r w:rsidR="00D02616">
        <w:rPr>
          <w:rFonts w:ascii="SimSun" w:hAnsi="SimSun"/>
        </w:rPr>
        <w:t>用免洗酒精凝胶擦手</w:t>
      </w:r>
      <w:r w:rsidRPr="00BE1BCD">
        <w:rPr>
          <w:rFonts w:hint="eastAsia"/>
        </w:rPr>
        <w:tab/>
        <w:t xml:space="preserve">B. </w:t>
      </w:r>
      <w:r w:rsidR="00D02616">
        <w:rPr>
          <w:rFonts w:ascii="SimSun" w:hAnsi="SimSun"/>
        </w:rPr>
        <w:t>制作泡菜前用开水烫洗容器</w:t>
      </w:r>
      <w:r w:rsidR="00AB4A91">
        <w:rPr>
          <w:noProof/>
        </w:rPr>
      </w:r>
      <w:r w:rsidR="00AB4A91">
        <w:rPr>
          <w:noProof/>
        </w:rPr>
        <w:pict>
          <v:shape id="_x0000_i1028" type="#_x0000_t75" alt="学科网 zxxk.com" style="width:.85pt;height:.85pt;mso-width-percent:0;mso-height-percent:0;mso-width-percent:0;mso-height-percent:0">
            <v:imagedata r:id="rId8" o:title=""/>
          </v:shape>
        </w:pict>
      </w:r>
    </w:p>
    <w:p w:rsidR="00D02616" w:rsidRDefault="00FC5860">
      <w:pPr>
        <w:tabs>
          <w:tab w:val="left" w:pos="4873"/>
        </w:tabs>
        <w:spacing w:line="360" w:lineRule="auto"/>
        <w:jc w:val="left"/>
        <w:textAlignment w:val="center"/>
        <w:rPr>
          <w:rFonts w:ascii="SimSun" w:hAnsi="SimSun"/>
          <w:color w:val="000000"/>
        </w:rPr>
      </w:pPr>
      <w:r w:rsidRPr="00BE1BCD">
        <w:rPr>
          <w:rFonts w:hint="eastAsia"/>
        </w:rPr>
        <w:t xml:space="preserve">C. </w:t>
      </w:r>
      <w:r w:rsidR="00D02616">
        <w:rPr>
          <w:rFonts w:ascii="SimSun" w:hAnsi="SimSun"/>
        </w:rPr>
        <w:t>在火焰上灼烧接种环</w:t>
      </w:r>
      <w:r w:rsidRPr="00BE1BCD">
        <w:rPr>
          <w:rFonts w:hint="eastAsia"/>
        </w:rPr>
        <w:tab/>
        <w:t xml:space="preserve">D. </w:t>
      </w:r>
      <w:r w:rsidR="00D02616">
        <w:rPr>
          <w:rFonts w:ascii="SimSun" w:hAnsi="SimSun"/>
        </w:rPr>
        <w:t>防疫期间用石炭酸喷洒教室</w:t>
      </w:r>
      <w:r w:rsidR="00AB4A91">
        <w:rPr>
          <w:noProof/>
        </w:rPr>
      </w:r>
      <w:r w:rsidR="00AB4A91">
        <w:rPr>
          <w:noProof/>
        </w:rPr>
        <w:pict>
          <v:shape id="_x0000_i1029"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2. </w:t>
      </w:r>
      <w:r>
        <w:rPr>
          <w:rFonts w:ascii="SimSun" w:hAnsi="SimSun"/>
          <w:color w:val="000000"/>
        </w:rPr>
        <w:t>突触小泡可从细胞质基质摄取神经递质。当兴奋传导至轴突末梢时，突触小泡释放神经递质到突触间隙。图中不能检测出神经递质的部位是（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30"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ascii="SimSun" w:hAnsi="SimSun"/>
          <w:noProof/>
          <w:color w:val="000000"/>
        </w:rPr>
      </w:r>
      <w:r w:rsidR="00AB4A91">
        <w:rPr>
          <w:rFonts w:ascii="SimSun" w:hAnsi="SimSun"/>
          <w:noProof/>
          <w:color w:val="000000"/>
        </w:rPr>
        <w:pict>
          <v:shape id="_x0000_i1031" type="#_x0000_t75" alt="" style="width:128.4pt;height:91.1pt;mso-width-percent:0;mso-height-percent:0;mso-width-percent:0;mso-height-percent:0">
            <v:imagedata r:id="rId9" o:title=""/>
          </v:shape>
        </w:pict>
      </w:r>
      <w:r>
        <w:rPr>
          <w:noProof/>
        </w:rPr>
      </w:r>
      <w:r w:rsidR="00AB4A91">
        <w:rPr>
          <w:noProof/>
        </w:rPr>
        <w:pict>
          <v:shape id="_x0000_i1032"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rFonts w:ascii="SimSun" w:hAnsi="SimSun"/>
          <w:color w:val="000000"/>
        </w:rPr>
        <w:t>A. ①</w:t>
      </w:r>
      <w:r>
        <w:rPr>
          <w:rFonts w:ascii="SimSun" w:hAnsi="SimSun"/>
          <w:color w:val="000000"/>
        </w:rPr>
        <w:tab/>
        <w:t>B. ②</w:t>
      </w:r>
      <w:r w:rsidR="00AB4A91">
        <w:rPr>
          <w:noProof/>
        </w:rPr>
      </w:r>
      <w:r w:rsidR="00AB4A91">
        <w:rPr>
          <w:noProof/>
        </w:rPr>
        <w:pict>
          <v:shape id="_x0000_i1033"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rFonts w:ascii="SimSun" w:hAnsi="SimSun"/>
          <w:color w:val="000000"/>
        </w:rPr>
        <w:t>C. ③</w:t>
      </w:r>
      <w:r>
        <w:rPr>
          <w:rFonts w:ascii="SimSun" w:hAnsi="SimSun"/>
          <w:color w:val="000000"/>
        </w:rPr>
        <w:tab/>
        <w:t>D. ④</w:t>
      </w:r>
      <w:r w:rsidR="00AB4A91">
        <w:rPr>
          <w:noProof/>
        </w:rPr>
      </w:r>
      <w:r w:rsidR="00AB4A91">
        <w:rPr>
          <w:noProof/>
        </w:rPr>
        <w:pict>
          <v:shape id="_x0000_i103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3. </w:t>
      </w:r>
      <w:r>
        <w:rPr>
          <w:rFonts w:ascii="SimSun" w:hAnsi="SimSun"/>
          <w:color w:val="000000"/>
        </w:rPr>
        <w:t>动物正常组织干细胞突变获得异常增殖能力，并与外界因素相互作用，可恶变为癌细胞。干细胞转变为癌细胞后，下列说法正确的是（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35"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rFonts w:ascii="SimSun" w:hAnsi="SimSun"/>
          <w:color w:val="000000"/>
        </w:rPr>
        <w:t xml:space="preserve">A. </w:t>
      </w:r>
      <w:r>
        <w:rPr>
          <w:rFonts w:eastAsia="Times New Roman" w:cs="Times New Roman"/>
          <w:color w:val="000000"/>
        </w:rPr>
        <w:t>DNA</w:t>
      </w:r>
      <w:r>
        <w:rPr>
          <w:rFonts w:ascii="SimSun" w:hAnsi="SimSun"/>
          <w:color w:val="000000"/>
        </w:rPr>
        <w:t>序列不变</w:t>
      </w:r>
      <w:r>
        <w:rPr>
          <w:rFonts w:ascii="SimSun" w:hAnsi="SimSun"/>
          <w:color w:val="000000"/>
        </w:rPr>
        <w:tab/>
        <w:t xml:space="preserve">B. </w:t>
      </w:r>
      <w:r>
        <w:rPr>
          <w:rFonts w:eastAsia="Times New Roman" w:cs="Times New Roman"/>
          <w:color w:val="000000"/>
        </w:rPr>
        <w:t>DNA</w:t>
      </w:r>
      <w:r>
        <w:rPr>
          <w:rFonts w:ascii="SimSun" w:hAnsi="SimSun"/>
          <w:color w:val="000000"/>
        </w:rPr>
        <w:t>复制方式不变</w:t>
      </w:r>
      <w:r w:rsidR="00AB4A91">
        <w:rPr>
          <w:noProof/>
        </w:rPr>
      </w:r>
      <w:r w:rsidR="00AB4A91">
        <w:rPr>
          <w:noProof/>
        </w:rPr>
        <w:pict>
          <v:shape id="_x0000_i1036"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rFonts w:ascii="SimSun" w:hAnsi="SimSun"/>
          <w:color w:val="000000"/>
        </w:rPr>
        <w:t>C. 细胞内</w:t>
      </w:r>
      <w:r>
        <w:rPr>
          <w:rFonts w:eastAsia="Times New Roman" w:cs="Times New Roman"/>
          <w:color w:val="000000"/>
        </w:rPr>
        <w:t>mRNA</w:t>
      </w:r>
      <w:r>
        <w:rPr>
          <w:rFonts w:ascii="SimSun" w:hAnsi="SimSun"/>
          <w:color w:val="000000"/>
        </w:rPr>
        <w:t>不变</w:t>
      </w:r>
      <w:r>
        <w:rPr>
          <w:rFonts w:ascii="SimSun" w:hAnsi="SimSun"/>
          <w:color w:val="000000"/>
        </w:rPr>
        <w:tab/>
        <w:t>D. 细胞表面蛋白质不变</w:t>
      </w:r>
      <w:r w:rsidR="00AB4A91">
        <w:rPr>
          <w:noProof/>
        </w:rPr>
      </w:r>
      <w:r w:rsidR="00AB4A91">
        <w:rPr>
          <w:noProof/>
        </w:rPr>
        <w:pict>
          <v:shape id="_x0000_i103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4. </w:t>
      </w:r>
      <w:r>
        <w:rPr>
          <w:rFonts w:ascii="SimSun" w:hAnsi="SimSun"/>
          <w:color w:val="000000"/>
        </w:rPr>
        <w:t>富营养化水体中，藻类是吸收磷元素的主要生物，下列说法正确的是（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38"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A. 磷是组成藻类细胞的微量元素</w:t>
      </w:r>
      <w:r w:rsidR="00AB4A91">
        <w:rPr>
          <w:noProof/>
        </w:rPr>
      </w:r>
      <w:r w:rsidR="00AB4A91">
        <w:rPr>
          <w:noProof/>
        </w:rPr>
        <w:pict>
          <v:shape id="_x0000_i1039"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B. 磷是构成藻类生物膜的必要元素</w:t>
      </w:r>
      <w:r w:rsidR="00AB4A91">
        <w:rPr>
          <w:noProof/>
        </w:rPr>
      </w:r>
      <w:r w:rsidR="00AB4A91">
        <w:rPr>
          <w:noProof/>
        </w:rPr>
        <w:pict>
          <v:shape id="_x0000_i1040"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C. 藻类的</w:t>
      </w:r>
      <w:r>
        <w:rPr>
          <w:rFonts w:eastAsia="Times New Roman" w:cs="Times New Roman"/>
          <w:color w:val="000000"/>
        </w:rPr>
        <w:t>ATP</w:t>
      </w:r>
      <w:r>
        <w:rPr>
          <w:rFonts w:ascii="SimSun" w:hAnsi="SimSun"/>
          <w:color w:val="000000"/>
        </w:rPr>
        <w:t>和淀粉都是含磷化合物</w:t>
      </w:r>
      <w:r w:rsidR="00AB4A91">
        <w:rPr>
          <w:noProof/>
        </w:rPr>
      </w:r>
      <w:r w:rsidR="00AB4A91">
        <w:rPr>
          <w:noProof/>
        </w:rPr>
        <w:pict>
          <v:shape id="_x0000_i1041"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D. 生态系统的磷循环在水生生物群落内完成</w:t>
      </w:r>
      <w:r w:rsidR="00AB4A91">
        <w:rPr>
          <w:noProof/>
        </w:rPr>
      </w:r>
      <w:r w:rsidR="00AB4A91">
        <w:rPr>
          <w:noProof/>
        </w:rPr>
        <w:pict>
          <v:shape id="_x0000_i1042"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5. </w:t>
      </w:r>
      <w:r>
        <w:rPr>
          <w:rFonts w:ascii="SimSun" w:hAnsi="SimSun"/>
          <w:color w:val="000000"/>
        </w:rPr>
        <w:t>铅可导致神经元线粒体空泡化、内质网结构改变、高尔基体扩张，影响这些细胞器的正常功能。这些改变不会直接影响下列哪种生理过程（</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43"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A. 无氧呼吸释放少量能量</w:t>
      </w:r>
      <w:r w:rsidR="00AB4A91">
        <w:rPr>
          <w:noProof/>
        </w:rPr>
      </w:r>
      <w:r w:rsidR="00AB4A91">
        <w:rPr>
          <w:noProof/>
        </w:rPr>
        <w:pict>
          <v:shape id="_x0000_i104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B. 神经元间的兴奋传递</w:t>
      </w:r>
      <w:r w:rsidR="00AB4A91">
        <w:rPr>
          <w:noProof/>
        </w:rPr>
      </w:r>
      <w:r w:rsidR="00AB4A91">
        <w:rPr>
          <w:noProof/>
        </w:rPr>
        <w:pict>
          <v:shape id="_x0000_i1045"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C. 分泌蛋白合成和加工</w:t>
      </w:r>
      <w:r w:rsidR="00AB4A91">
        <w:rPr>
          <w:noProof/>
        </w:rPr>
      </w:r>
      <w:r w:rsidR="00AB4A91">
        <w:rPr>
          <w:noProof/>
        </w:rPr>
        <w:pict>
          <v:shape id="_x0000_i104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 xml:space="preserve">D. </w:t>
      </w:r>
      <w:r>
        <w:rPr>
          <w:rFonts w:eastAsia="Times New Roman" w:cs="Times New Roman"/>
          <w:color w:val="000000"/>
        </w:rPr>
        <w:t>[H]</w:t>
      </w:r>
      <w:r>
        <w:rPr>
          <w:rFonts w:ascii="SimSun" w:hAnsi="SimSun"/>
          <w:color w:val="000000"/>
        </w:rPr>
        <w:t>与</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结合生成水</w:t>
      </w:r>
      <w:r w:rsidR="00AB4A91">
        <w:rPr>
          <w:noProof/>
        </w:rPr>
      </w:r>
      <w:r w:rsidR="00AB4A91">
        <w:rPr>
          <w:noProof/>
        </w:rPr>
        <w:pict>
          <v:shape id="_x0000_i104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6. </w:t>
      </w:r>
      <w:r>
        <w:rPr>
          <w:rFonts w:ascii="SimSun" w:hAnsi="SimSun"/>
          <w:color w:val="000000"/>
        </w:rPr>
        <w:t>孟德尔说：“任何实验的价值和效用，取决于所使用材料对于实验目的的适合性。”下列实验材料选择不适合的是（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48"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ascii="SimSun" w:hAnsi="SimSun"/>
          <w:noProof/>
          <w:color w:val="000000"/>
        </w:rPr>
        <w:lastRenderedPageBreak/>
      </w:r>
      <w:r w:rsidR="00AB4A91">
        <w:rPr>
          <w:rFonts w:ascii="SimSun" w:hAnsi="SimSun"/>
          <w:noProof/>
          <w:color w:val="000000"/>
        </w:rPr>
        <w:pict>
          <v:shape id="_x0000_i1049" type="#_x0000_t75" alt="" style="width:152.65pt;height:141.4pt;mso-width-percent:0;mso-height-percent:0;mso-width-percent:0;mso-height-percent:0">
            <v:imagedata r:id="rId10" o:title=""/>
          </v:shape>
        </w:pict>
      </w:r>
      <w:r w:rsidR="00D02616">
        <w:rPr>
          <w:rFonts w:ascii="SimSun" w:hAnsi="SimSun"/>
          <w:color w:val="000000"/>
        </w:rPr>
        <w:br/>
      </w:r>
      <w:r>
        <w:rPr>
          <w:noProof/>
        </w:rPr>
      </w:r>
      <w:r w:rsidR="00AB4A91">
        <w:rPr>
          <w:noProof/>
        </w:rPr>
        <w:pict>
          <v:shape id="_x0000_i1050"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A. 用洋葱鳞片叶表皮观察细胞的质壁分离和复原现象</w:t>
      </w:r>
      <w:r w:rsidR="00AB4A91">
        <w:rPr>
          <w:noProof/>
        </w:rPr>
      </w:r>
      <w:r w:rsidR="00AB4A91">
        <w:rPr>
          <w:noProof/>
        </w:rPr>
        <w:pict>
          <v:shape id="_x0000_i1051"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B. 用洋葱根尖分生区观察细胞有丝分裂</w:t>
      </w:r>
      <w:r w:rsidR="00AB4A91">
        <w:rPr>
          <w:noProof/>
        </w:rPr>
      </w:r>
      <w:r w:rsidR="00AB4A91">
        <w:rPr>
          <w:noProof/>
        </w:rPr>
        <w:pict>
          <v:shape id="_x0000_i1052"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C. 用洋葱鳞片叶提取和分离叶绿体中的色素</w:t>
      </w:r>
      <w:r w:rsidR="00AB4A91">
        <w:rPr>
          <w:noProof/>
        </w:rPr>
      </w:r>
      <w:r w:rsidR="00AB4A91">
        <w:rPr>
          <w:noProof/>
        </w:rPr>
        <w:pict>
          <v:shape id="_x0000_i1053"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eastAsia="Times New Roman" w:cs="Times New Roman"/>
          <w:color w:val="000000"/>
        </w:rPr>
      </w:pPr>
      <w:r>
        <w:rPr>
          <w:rFonts w:ascii="SimSun" w:hAnsi="SimSun"/>
          <w:color w:val="000000"/>
        </w:rPr>
        <w:t>D. 用洋葱鳞片叶粗提取</w:t>
      </w:r>
      <w:r>
        <w:rPr>
          <w:rFonts w:eastAsia="Times New Roman" w:cs="Times New Roman"/>
          <w:color w:val="000000"/>
        </w:rPr>
        <w:t>DNA</w:t>
      </w:r>
      <w:r w:rsidR="00AB4A91">
        <w:rPr>
          <w:noProof/>
        </w:rPr>
      </w:r>
      <w:r w:rsidR="00AB4A91">
        <w:rPr>
          <w:noProof/>
        </w:rPr>
        <w:pict>
          <v:shape id="_x0000_i105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7. </w:t>
      </w:r>
      <w:r>
        <w:rPr>
          <w:rFonts w:ascii="SimSun" w:hAnsi="SimSun"/>
          <w:color w:val="000000"/>
        </w:rPr>
        <w:t>下图为某二倍体昆虫精巢中一个异常精原细胞的部分染色体组成示意图。若该细胞可以正常分裂，下列哪种情况不可能出现（</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55"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eastAsia="Times New Roman" w:cs="Times New Roman"/>
          <w:noProof/>
          <w:color w:val="000000"/>
        </w:rPr>
      </w:r>
      <w:r w:rsidR="00AB4A91">
        <w:rPr>
          <w:rFonts w:eastAsia="Times New Roman" w:cs="Times New Roman"/>
          <w:noProof/>
          <w:color w:val="000000"/>
        </w:rPr>
        <w:pict>
          <v:shape id="_x0000_i1056" type="#_x0000_t75" alt="" style="width:92.8pt;height:98pt;mso-width-percent:0;mso-height-percent:0;mso-width-percent:0;mso-height-percent:0">
            <v:imagedata r:id="rId11" o:title=""/>
          </v:shape>
        </w:pict>
      </w:r>
      <w:r>
        <w:rPr>
          <w:noProof/>
        </w:rPr>
      </w:r>
      <w:r w:rsidR="00AB4A91">
        <w:rPr>
          <w:noProof/>
        </w:rPr>
        <w:pict>
          <v:shape id="_x0000_i1057"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color w:val="000000"/>
        </w:rPr>
      </w:pPr>
      <w:r>
        <w:rPr>
          <w:rFonts w:eastAsia="Times New Roman" w:cs="Times New Roman"/>
          <w:color w:val="000000"/>
        </w:rPr>
        <w:t>A</w:t>
      </w:r>
      <w:r w:rsidR="00AB4A91">
        <w:rPr>
          <w:rFonts w:eastAsia="Times New Roman" w:cs="Times New Roman"/>
          <w:noProof/>
          <w:color w:val="000000"/>
          <w:position w:val="-22"/>
        </w:rPr>
      </w:r>
      <w:r w:rsidR="00AB4A91">
        <w:rPr>
          <w:rFonts w:eastAsia="Times New Roman" w:cs="Times New Roman"/>
          <w:noProof/>
          <w:color w:val="000000"/>
          <w:position w:val="-22"/>
        </w:rPr>
        <w:pict>
          <v:shape id="_x0000_i1058" type="#_x0000_t75" alt="" style="width:2.6pt;height:6.95pt;mso-width-percent:0;mso-height-percent:0;mso-position-vertical:bottom;mso-width-percent:0;mso-height-percent:0">
            <v:imagedata r:id="rId12" o:title=""/>
          </v:shape>
        </w:pict>
      </w:r>
      <w:r w:rsidR="00AB4A91">
        <w:rPr>
          <w:noProof/>
        </w:rPr>
      </w:r>
      <w:r w:rsidR="00AB4A91">
        <w:rPr>
          <w:noProof/>
        </w:rPr>
        <w:pict>
          <v:shape id="_x0000_i1059" type="#_x0000_t75" alt="学科网 zxxk.com" style="width:.85pt;height:.85pt;mso-width-percent:0;mso-height-percent:0;mso-width-percent:0;mso-height-percent:0">
            <v:imagedata r:id="rId8" o:title=""/>
          </v:shape>
        </w:pict>
      </w:r>
      <w:r>
        <w:rPr>
          <w:rFonts w:eastAsia="Times New Roman" w:cs="Times New Roman"/>
          <w:color w:val="000000"/>
        </w:rPr>
        <w:t xml:space="preserve"> </w:t>
      </w:r>
      <w:r w:rsidR="00AB4A91">
        <w:rPr>
          <w:rFonts w:eastAsia="Times New Roman" w:cs="Times New Roman"/>
          <w:noProof/>
          <w:color w:val="000000"/>
        </w:rPr>
      </w:r>
      <w:r w:rsidR="00AB4A91">
        <w:rPr>
          <w:rFonts w:eastAsia="Times New Roman" w:cs="Times New Roman"/>
          <w:noProof/>
          <w:color w:val="000000"/>
        </w:rPr>
        <w:pict>
          <v:shape id="_x0000_i1060" type="#_x0000_t75" alt="" style="width:81.55pt;height:108.45pt;mso-width-percent:0;mso-height-percent:0;mso-width-percent:0;mso-height-percent:0">
            <v:imagedata r:id="rId13" o:title=""/>
          </v:shape>
        </w:pict>
      </w:r>
      <w:r>
        <w:rPr>
          <w:rFonts w:eastAsia="Times New Roman" w:cs="Times New Roman"/>
          <w:color w:val="000000"/>
        </w:rPr>
        <w:tab/>
        <w:t xml:space="preserve">B. </w:t>
      </w:r>
      <w:r w:rsidR="00AB4A91">
        <w:rPr>
          <w:rFonts w:eastAsia="Times New Roman" w:cs="Times New Roman"/>
          <w:noProof/>
          <w:color w:val="000000"/>
        </w:rPr>
      </w:r>
      <w:r w:rsidR="00AB4A91">
        <w:rPr>
          <w:rFonts w:eastAsia="Times New Roman" w:cs="Times New Roman"/>
          <w:noProof/>
          <w:color w:val="000000"/>
        </w:rPr>
        <w:pict>
          <v:shape id="_x0000_i1061" type="#_x0000_t75" alt="" style="width:84.15pt;height:107.55pt;mso-width-percent:0;mso-height-percent:0;mso-width-percent:0;mso-height-percent:0">
            <v:imagedata r:id="rId14" o:title=""/>
          </v:shape>
        </w:pict>
      </w:r>
    </w:p>
    <w:p w:rsidR="00D02616" w:rsidRDefault="00D02616">
      <w:pPr>
        <w:tabs>
          <w:tab w:val="left" w:pos="4873"/>
        </w:tabs>
        <w:spacing w:line="360" w:lineRule="auto"/>
        <w:jc w:val="left"/>
        <w:textAlignment w:val="center"/>
        <w:rPr>
          <w:color w:val="000000"/>
        </w:rPr>
      </w:pPr>
      <w:r>
        <w:rPr>
          <w:rFonts w:eastAsia="Times New Roman" w:cs="Times New Roman"/>
          <w:color w:val="000000"/>
        </w:rPr>
        <w:t xml:space="preserve">C. </w:t>
      </w:r>
      <w:r w:rsidR="00AB4A91">
        <w:rPr>
          <w:rFonts w:eastAsia="Times New Roman" w:cs="Times New Roman"/>
          <w:noProof/>
          <w:color w:val="000000"/>
        </w:rPr>
      </w:r>
      <w:r w:rsidR="00AB4A91">
        <w:rPr>
          <w:rFonts w:eastAsia="Times New Roman" w:cs="Times New Roman"/>
          <w:noProof/>
          <w:color w:val="000000"/>
        </w:rPr>
        <w:pict>
          <v:shape id="_x0000_i1062" type="#_x0000_t75" alt="" style="width:84.15pt;height:109.3pt;mso-width-percent:0;mso-height-percent:0;mso-width-percent:0;mso-height-percent:0">
            <v:imagedata r:id="rId15" o:title=""/>
          </v:shape>
        </w:pict>
      </w:r>
      <w:r w:rsidR="00AB4A91">
        <w:rPr>
          <w:noProof/>
        </w:rPr>
      </w:r>
      <w:r w:rsidR="00AB4A91">
        <w:rPr>
          <w:noProof/>
        </w:rPr>
        <w:pict>
          <v:shape id="_x0000_i1063" type="#_x0000_t75" alt="学科网 zxxk.com" style="width:.85pt;height:.85pt;mso-width-percent:0;mso-height-percent:0;mso-width-percent:0;mso-height-percent:0">
            <v:imagedata r:id="rId8" o:title=""/>
          </v:shape>
        </w:pict>
      </w:r>
      <w:r>
        <w:rPr>
          <w:rFonts w:eastAsia="Times New Roman" w:cs="Times New Roman"/>
          <w:color w:val="000000"/>
        </w:rPr>
        <w:tab/>
        <w:t xml:space="preserve">D. </w:t>
      </w:r>
      <w:r w:rsidR="00AB4A91">
        <w:rPr>
          <w:rFonts w:eastAsia="Times New Roman" w:cs="Times New Roman"/>
          <w:noProof/>
          <w:color w:val="000000"/>
        </w:rPr>
      </w:r>
      <w:r w:rsidR="00AB4A91">
        <w:rPr>
          <w:rFonts w:eastAsia="Times New Roman" w:cs="Times New Roman"/>
          <w:noProof/>
          <w:color w:val="000000"/>
        </w:rPr>
        <w:pict>
          <v:shape id="_x0000_i1064" type="#_x0000_t75" alt="" style="width:82.4pt;height:105.85pt;mso-width-percent:0;mso-height-percent:0;mso-width-percent:0;mso-height-percent:0">
            <v:imagedata r:id="rId16" o:title=""/>
          </v:shape>
        </w:pict>
      </w:r>
    </w:p>
    <w:p w:rsidR="00D02616" w:rsidRDefault="00D02616">
      <w:pPr>
        <w:spacing w:line="360" w:lineRule="auto"/>
        <w:jc w:val="left"/>
        <w:textAlignment w:val="center"/>
        <w:rPr>
          <w:rFonts w:ascii="SimSun" w:hAnsi="SimSun"/>
          <w:color w:val="000000"/>
        </w:rPr>
      </w:pPr>
      <w:r>
        <w:rPr>
          <w:color w:val="000000"/>
        </w:rPr>
        <w:t xml:space="preserve">8. </w:t>
      </w:r>
      <w:r>
        <w:rPr>
          <w:rFonts w:ascii="SimSun" w:hAnsi="SimSun"/>
          <w:color w:val="000000"/>
        </w:rPr>
        <w:t>某患者被初步诊断患有</w:t>
      </w:r>
      <w:r>
        <w:rPr>
          <w:rFonts w:eastAsia="Times New Roman" w:cs="Times New Roman"/>
          <w:color w:val="000000"/>
        </w:rPr>
        <w:t>SC</w:t>
      </w:r>
      <w:r>
        <w:rPr>
          <w:rFonts w:ascii="SimSun" w:hAnsi="SimSun"/>
          <w:color w:val="000000"/>
        </w:rPr>
        <w:t>单基因遗传病，该基因位于常染色体上。调查其家系发现，患者双亲各有一个</w:t>
      </w:r>
      <w:r>
        <w:rPr>
          <w:rFonts w:eastAsia="Times New Roman" w:cs="Times New Roman"/>
          <w:color w:val="000000"/>
        </w:rPr>
        <w:t>SC</w:t>
      </w:r>
      <w:r>
        <w:rPr>
          <w:rFonts w:ascii="SimSun" w:hAnsi="SimSun"/>
          <w:color w:val="000000"/>
        </w:rPr>
        <w:t>基因发生单碱基替换突变，且突变位于该基因的不同位点。调查结果见下表。</w:t>
      </w:r>
      <w:r w:rsidR="00AB4A91">
        <w:rPr>
          <w:noProof/>
        </w:rPr>
      </w:r>
      <w:r w:rsidR="00AB4A91">
        <w:rPr>
          <w:noProof/>
        </w:rPr>
        <w:pict>
          <v:shape id="_x0000_i1065" type="#_x0000_t75" alt="学科网 zxxk.com" style="width:.85pt;height:.85pt;mso-width-percent:0;mso-height-percent:0;mso-width-percent:0;mso-height-percent:0">
            <v:imagedata r:id="rId8"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9"/>
        <w:gridCol w:w="1057"/>
        <w:gridCol w:w="1057"/>
        <w:gridCol w:w="2084"/>
        <w:gridCol w:w="660"/>
      </w:tblGrid>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lastRenderedPageBreak/>
              <w:t>个体</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母亲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父亲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姐姐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患者</w:t>
            </w:r>
          </w:p>
        </w:tc>
      </w:tr>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表现型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正常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患病</w:t>
            </w:r>
          </w:p>
        </w:tc>
      </w:tr>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eastAsia="Times New Roman" w:cs="Times New Roman"/>
                <w:color w:val="000000"/>
              </w:rPr>
              <w:t>SC</w:t>
            </w:r>
            <w:r>
              <w:rPr>
                <w:rFonts w:ascii="SimSun" w:hAnsi="SimSun"/>
                <w:color w:val="000000"/>
              </w:rPr>
              <w:t>基因测序结果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[605G/A]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[731A/G]</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[605G/G]</w:t>
            </w:r>
            <w:r>
              <w:rPr>
                <w:rFonts w:ascii="SimSun" w:hAnsi="SimSun"/>
                <w:color w:val="000000"/>
              </w:rPr>
              <w:t>；</w:t>
            </w:r>
            <w:r>
              <w:rPr>
                <w:rFonts w:eastAsia="Times New Roman" w:cs="Times New Roman"/>
                <w:color w:val="000000"/>
              </w:rPr>
              <w:t>[731A/A]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w:t>
            </w:r>
          </w:p>
        </w:tc>
      </w:tr>
    </w:tbl>
    <w:p w:rsidR="00D02616" w:rsidRDefault="00D02616">
      <w:pPr>
        <w:spacing w:line="360" w:lineRule="auto"/>
        <w:jc w:val="left"/>
        <w:textAlignment w:val="center"/>
        <w:rPr>
          <w:rFonts w:ascii="SimSun" w:hAnsi="SimSun"/>
          <w:color w:val="000000"/>
        </w:rPr>
      </w:pPr>
      <w:r>
        <w:rPr>
          <w:rFonts w:ascii="SimSun" w:hAnsi="SimSun"/>
          <w:color w:val="000000"/>
        </w:rPr>
        <w:t>注：测序结果只给出基一条链（编码链）的碱基序列</w:t>
      </w:r>
      <w:r>
        <w:rPr>
          <w:rFonts w:eastAsia="Times New Roman" w:cs="Times New Roman"/>
          <w:color w:val="000000"/>
        </w:rPr>
        <w:t>[605G/A]</w:t>
      </w:r>
      <w:r>
        <w:rPr>
          <w:rFonts w:ascii="SimSun" w:hAnsi="SimSun"/>
          <w:color w:val="000000"/>
        </w:rPr>
        <w:t>示两条同源染色体上</w:t>
      </w:r>
      <w:r>
        <w:rPr>
          <w:rFonts w:eastAsia="Times New Roman" w:cs="Times New Roman"/>
          <w:color w:val="000000"/>
        </w:rPr>
        <w:t>SC</w:t>
      </w:r>
      <w:r>
        <w:rPr>
          <w:rFonts w:ascii="SimSun" w:hAnsi="SimSun"/>
          <w:color w:val="000000"/>
        </w:rPr>
        <w:t>基因编码链的第</w:t>
      </w:r>
      <w:r>
        <w:rPr>
          <w:rFonts w:eastAsia="Times New Roman" w:cs="Times New Roman"/>
          <w:color w:val="000000"/>
        </w:rPr>
        <w:t>605</w:t>
      </w:r>
      <w:r>
        <w:rPr>
          <w:rFonts w:ascii="SimSun" w:hAnsi="SimSun"/>
          <w:color w:val="000000"/>
        </w:rPr>
        <w:t>位碱基分别为</w:t>
      </w:r>
      <w:r>
        <w:rPr>
          <w:rFonts w:eastAsia="Times New Roman" w:cs="Times New Roman"/>
          <w:color w:val="000000"/>
        </w:rPr>
        <w:t>G</w:t>
      </w:r>
      <w:r>
        <w:rPr>
          <w:rFonts w:ascii="SimSun" w:hAnsi="SimSun"/>
          <w:color w:val="000000"/>
        </w:rPr>
        <w:t>和</w:t>
      </w:r>
      <w:r>
        <w:rPr>
          <w:rFonts w:eastAsia="Times New Roman" w:cs="Times New Roman"/>
          <w:color w:val="000000"/>
        </w:rPr>
        <w:t>A</w:t>
      </w:r>
      <w:r>
        <w:rPr>
          <w:rFonts w:ascii="SimSun" w:hAnsi="SimSun"/>
          <w:color w:val="000000"/>
        </w:rPr>
        <w:t>，其他类似。</w:t>
      </w:r>
      <w:r w:rsidR="00AB4A91">
        <w:rPr>
          <w:noProof/>
        </w:rPr>
      </w:r>
      <w:r w:rsidR="00AB4A91">
        <w:rPr>
          <w:noProof/>
        </w:rPr>
        <w:pict>
          <v:shape id="_x0000_i106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若患者的姐姐两条同源染色体上</w:t>
      </w:r>
      <w:r>
        <w:rPr>
          <w:rFonts w:eastAsia="Times New Roman" w:cs="Times New Roman"/>
          <w:color w:val="000000"/>
        </w:rPr>
        <w:t>SC</w:t>
      </w:r>
      <w:r>
        <w:rPr>
          <w:rFonts w:ascii="SimSun" w:hAnsi="SimSun"/>
          <w:color w:val="000000"/>
        </w:rPr>
        <w:t>基因编码链的第</w:t>
      </w:r>
      <w:r>
        <w:rPr>
          <w:rFonts w:eastAsia="Times New Roman" w:cs="Times New Roman"/>
          <w:color w:val="000000"/>
        </w:rPr>
        <w:t>605</w:t>
      </w:r>
      <w:r>
        <w:rPr>
          <w:rFonts w:ascii="SimSun" w:hAnsi="SimSun"/>
          <w:color w:val="000000"/>
        </w:rPr>
        <w:t>和</w:t>
      </w:r>
      <w:r>
        <w:rPr>
          <w:rFonts w:eastAsia="Times New Roman" w:cs="Times New Roman"/>
          <w:color w:val="000000"/>
        </w:rPr>
        <w:t>731</w:t>
      </w:r>
      <w:r>
        <w:rPr>
          <w:rFonts w:ascii="SimSun" w:hAnsi="SimSun"/>
          <w:color w:val="000000"/>
        </w:rPr>
        <w:t>位碱基可表示为下图</w:t>
      </w:r>
      <w:r>
        <w:rPr>
          <w:rFonts w:eastAsia="Times New Roman" w:cs="Times New Roman"/>
          <w:color w:val="000000"/>
        </w:rPr>
        <w:t>1</w:t>
      </w:r>
      <w:r>
        <w:rPr>
          <w:rFonts w:ascii="SimSun" w:hAnsi="SimSun"/>
          <w:color w:val="000000"/>
        </w:rPr>
        <w:t>，根据调查结果，推断该患者相应位点的碱基应为（</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67"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rFonts w:ascii="SimSun" w:hAnsi="SimSun"/>
          <w:color w:val="000000"/>
        </w:rPr>
      </w:pPr>
      <w:r>
        <w:rPr>
          <w:rFonts w:ascii="SimSun" w:hAnsi="SimSun"/>
          <w:noProof/>
          <w:color w:val="000000"/>
        </w:rPr>
      </w:r>
      <w:r w:rsidR="00AB4A91">
        <w:rPr>
          <w:rFonts w:ascii="SimSun" w:hAnsi="SimSun"/>
          <w:noProof/>
          <w:color w:val="000000"/>
        </w:rPr>
        <w:pict>
          <v:shape id="_x0000_i1068" type="#_x0000_t75" alt="" style="width:167.4pt;height:130.1pt;mso-width-percent:0;mso-height-percent:0;mso-width-percent:0;mso-height-percent:0">
            <v:imagedata r:id="rId17" o:title=""/>
          </v:shape>
        </w:pict>
      </w:r>
      <w:r>
        <w:rPr>
          <w:noProof/>
        </w:rPr>
      </w:r>
      <w:r w:rsidR="00AB4A91">
        <w:rPr>
          <w:noProof/>
        </w:rPr>
        <w:pict>
          <v:shape id="_x0000_i1069"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color w:val="000000"/>
        </w:rPr>
      </w:pPr>
      <w:r>
        <w:rPr>
          <w:color w:val="000000"/>
        </w:rPr>
        <w:t xml:space="preserve">A. </w:t>
      </w:r>
      <w:r w:rsidR="00AB4A91">
        <w:rPr>
          <w:noProof/>
          <w:color w:val="000000"/>
        </w:rPr>
      </w:r>
      <w:r w:rsidR="00AB4A91">
        <w:rPr>
          <w:noProof/>
          <w:color w:val="000000"/>
        </w:rPr>
        <w:pict>
          <v:shape id="_x0000_i1070" type="#_x0000_t75" alt="" style="width:183.9pt;height:123.2pt;mso-width-percent:0;mso-height-percent:0;mso-width-percent:0;mso-height-percent:0">
            <v:imagedata r:id="rId18" o:title=""/>
          </v:shape>
        </w:pict>
      </w:r>
      <w:r w:rsidR="00AB4A91">
        <w:rPr>
          <w:noProof/>
        </w:rPr>
      </w:r>
      <w:r w:rsidR="00AB4A91">
        <w:rPr>
          <w:noProof/>
        </w:rPr>
        <w:pict>
          <v:shape id="_x0000_i1071" type="#_x0000_t75" alt="学科网 zxxk.com" style="width:.85pt;height:.85pt;mso-width-percent:0;mso-height-percent:0;mso-width-percent:0;mso-height-percent:0">
            <v:imagedata r:id="rId8" o:title=""/>
          </v:shape>
        </w:pict>
      </w:r>
      <w:r>
        <w:rPr>
          <w:color w:val="000000"/>
        </w:rPr>
        <w:br/>
      </w:r>
      <w:r>
        <w:rPr>
          <w:color w:val="000000"/>
        </w:rPr>
        <w:tab/>
        <w:t xml:space="preserve">B. </w:t>
      </w:r>
      <w:r w:rsidR="00AB4A91">
        <w:rPr>
          <w:noProof/>
          <w:color w:val="000000"/>
        </w:rPr>
      </w:r>
      <w:r w:rsidR="00AB4A91">
        <w:rPr>
          <w:noProof/>
          <w:color w:val="000000"/>
        </w:rPr>
        <w:pict>
          <v:shape id="_x0000_i1072" type="#_x0000_t75" alt="" style="width:162.2pt;height:130.1pt;mso-width-percent:0;mso-height-percent:0;mso-width-percent:0;mso-height-percent:0">
            <v:imagedata r:id="rId19" o:title=""/>
          </v:shape>
        </w:pict>
      </w:r>
    </w:p>
    <w:p w:rsidR="00D02616" w:rsidRDefault="00D02616">
      <w:pPr>
        <w:tabs>
          <w:tab w:val="left" w:pos="4873"/>
        </w:tabs>
        <w:spacing w:line="360" w:lineRule="auto"/>
        <w:jc w:val="left"/>
        <w:textAlignment w:val="center"/>
        <w:rPr>
          <w:color w:val="000000"/>
        </w:rPr>
      </w:pPr>
      <w:r>
        <w:rPr>
          <w:color w:val="000000"/>
        </w:rPr>
        <w:lastRenderedPageBreak/>
        <w:t xml:space="preserve">C. </w:t>
      </w:r>
      <w:r w:rsidR="00AB4A91">
        <w:rPr>
          <w:noProof/>
          <w:color w:val="000000"/>
        </w:rPr>
      </w:r>
      <w:r w:rsidR="00AB4A91">
        <w:rPr>
          <w:noProof/>
          <w:color w:val="000000"/>
        </w:rPr>
        <w:pict>
          <v:shape id="_x0000_i1073" type="#_x0000_t75" alt="" style="width:157pt;height:127.5pt;mso-width-percent:0;mso-height-percent:0;mso-width-percent:0;mso-height-percent:0">
            <v:imagedata r:id="rId20" o:title=""/>
          </v:shape>
        </w:pict>
      </w:r>
      <w:r w:rsidR="00AB4A91">
        <w:rPr>
          <w:noProof/>
        </w:rPr>
      </w:r>
      <w:r w:rsidR="00AB4A91">
        <w:rPr>
          <w:noProof/>
        </w:rPr>
        <w:pict>
          <v:shape id="_x0000_i1074" type="#_x0000_t75" alt="学科网 zxxk.com" style="width:.85pt;height:.85pt;mso-width-percent:0;mso-height-percent:0;mso-width-percent:0;mso-height-percent:0">
            <v:imagedata r:id="rId8" o:title=""/>
          </v:shape>
        </w:pict>
      </w:r>
      <w:r>
        <w:rPr>
          <w:color w:val="000000"/>
        </w:rPr>
        <w:tab/>
        <w:t xml:space="preserve">D. </w:t>
      </w:r>
      <w:r w:rsidR="00AB4A91">
        <w:rPr>
          <w:noProof/>
          <w:color w:val="000000"/>
        </w:rPr>
      </w:r>
      <w:r w:rsidR="00AB4A91">
        <w:rPr>
          <w:noProof/>
          <w:color w:val="000000"/>
        </w:rPr>
        <w:pict>
          <v:shape id="_x0000_i1075" type="#_x0000_t75" alt="" style="width:162.2pt;height:119.7pt;mso-width-percent:0;mso-height-percent:0;mso-width-percent:0;mso-height-percent:0">
            <v:imagedata r:id="rId21" o:title=""/>
          </v:shape>
        </w:pict>
      </w:r>
    </w:p>
    <w:p w:rsidR="00D02616" w:rsidRDefault="00D02616">
      <w:pPr>
        <w:spacing w:line="360" w:lineRule="auto"/>
        <w:jc w:val="left"/>
        <w:textAlignment w:val="center"/>
        <w:rPr>
          <w:rFonts w:ascii="SimSun" w:hAnsi="SimSun"/>
          <w:color w:val="000000"/>
        </w:rPr>
      </w:pPr>
      <w:r>
        <w:rPr>
          <w:rFonts w:ascii="SimSun" w:hAnsi="SimSun"/>
          <w:color w:val="000000"/>
        </w:rPr>
        <w:t>阅读下列材料，完成下面小题。</w:t>
      </w:r>
      <w:r w:rsidR="00AB4A91">
        <w:rPr>
          <w:noProof/>
        </w:rPr>
      </w:r>
      <w:r w:rsidR="00AB4A91">
        <w:rPr>
          <w:noProof/>
        </w:rPr>
        <w:pict>
          <v:shape id="_x0000_i107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eastAsia="Times New Roman" w:cs="Times New Roman"/>
          <w:color w:val="000000"/>
        </w:rPr>
        <w:t>S</w:t>
      </w:r>
      <w:r>
        <w:rPr>
          <w:rFonts w:ascii="SimSun" w:hAnsi="SimSun"/>
          <w:color w:val="000000"/>
        </w:rPr>
        <w:t>蛋白是新冠病毒识别并感染靶细胞的重要蛋白，作为抗原被宿主免疫系统识别并应答，因此</w:t>
      </w:r>
      <w:r>
        <w:rPr>
          <w:rFonts w:eastAsia="Times New Roman" w:cs="Times New Roman"/>
          <w:color w:val="000000"/>
        </w:rPr>
        <w:t>S</w:t>
      </w:r>
      <w:r>
        <w:rPr>
          <w:rFonts w:ascii="SimSun" w:hAnsi="SimSun"/>
          <w:color w:val="000000"/>
        </w:rPr>
        <w:t>蛋白是新冠疫苗研发的重要靶点。下表是不同类型新冠疫苗研发策略比较。</w:t>
      </w:r>
      <w:r w:rsidR="00AB4A91">
        <w:rPr>
          <w:noProof/>
        </w:rPr>
      </w:r>
      <w:r w:rsidR="00AB4A91">
        <w:rPr>
          <w:noProof/>
        </w:rPr>
        <w:pict>
          <v:shape id="_x0000_i1077" type="#_x0000_t75" alt="学科网 zxxk.com" style="width:.85pt;height:.85pt;mso-width-percent:0;mso-height-percent:0;mso-width-percent:0;mso-height-percent:0">
            <v:imagedata r:id="rId8" o:title=""/>
          </v:shape>
        </w:pic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35"/>
        <w:gridCol w:w="8025"/>
      </w:tblGrid>
      <w:tr w:rsidR="00026BD2">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类型</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研发策略</w:t>
            </w:r>
          </w:p>
        </w:tc>
      </w:tr>
      <w:tr w:rsidR="00026BD2">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灭活疫苗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新冠病毒经培养、增殖，用理化方法灭活后制成疫苗。</w:t>
            </w:r>
          </w:p>
        </w:tc>
      </w:tr>
      <w:tr w:rsidR="00026BD2">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腺病毒载体疫苗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利用改造后无害的腺病毒作为载体，携带</w:t>
            </w:r>
            <w:r>
              <w:rPr>
                <w:rFonts w:eastAsia="Times New Roman" w:cs="Times New Roman"/>
                <w:color w:val="000000"/>
              </w:rPr>
              <w:t>S</w:t>
            </w:r>
            <w:r>
              <w:rPr>
                <w:rFonts w:ascii="SimSun" w:hAnsi="SimSun"/>
                <w:color w:val="000000"/>
              </w:rPr>
              <w:t>蛋白基因，制成疫苗。接种后，</w:t>
            </w:r>
            <w:r>
              <w:rPr>
                <w:rFonts w:eastAsia="Times New Roman" w:cs="Times New Roman"/>
                <w:color w:val="000000"/>
              </w:rPr>
              <w:t>S</w:t>
            </w:r>
            <w:r>
              <w:rPr>
                <w:rFonts w:ascii="SimSun" w:hAnsi="SimSun"/>
                <w:color w:val="000000"/>
              </w:rPr>
              <w:t>蛋白基因启动表达。</w:t>
            </w:r>
          </w:p>
        </w:tc>
      </w:tr>
      <w:tr w:rsidR="00026BD2">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亚单位疫苗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通过基因工程方法，在体外合成</w:t>
            </w:r>
            <w:r>
              <w:rPr>
                <w:rFonts w:eastAsia="Times New Roman" w:cs="Times New Roman"/>
                <w:color w:val="000000"/>
              </w:rPr>
              <w:t>S</w:t>
            </w:r>
            <w:r>
              <w:rPr>
                <w:rFonts w:ascii="SimSun" w:hAnsi="SimSun"/>
                <w:color w:val="000000"/>
              </w:rPr>
              <w:t>蛋白，制成疫苗。</w:t>
            </w:r>
          </w:p>
        </w:tc>
      </w:tr>
      <w:tr w:rsidR="00026BD2">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核酸疫苗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将编码</w:t>
            </w:r>
            <w:r>
              <w:rPr>
                <w:rFonts w:eastAsia="Times New Roman" w:cs="Times New Roman"/>
                <w:color w:val="000000"/>
              </w:rPr>
              <w:t>S</w:t>
            </w:r>
            <w:r>
              <w:rPr>
                <w:rFonts w:ascii="SimSun" w:hAnsi="SimSun"/>
                <w:color w:val="000000"/>
              </w:rPr>
              <w:t>蛋白</w:t>
            </w:r>
            <w:r w:rsidR="00AB4A91">
              <w:rPr>
                <w:rFonts w:ascii="SimSun" w:hAnsi="SimSun"/>
                <w:noProof/>
                <w:color w:val="000000"/>
              </w:rPr>
            </w:r>
            <w:r w:rsidR="00AB4A91">
              <w:rPr>
                <w:rFonts w:ascii="SimSun" w:hAnsi="SimSun"/>
                <w:noProof/>
                <w:color w:val="000000"/>
              </w:rPr>
              <w:pict>
                <v:shape id="_x0000_i1078" type="#_x0000_t75" alt="" style="width:10.4pt;height:13.9pt;mso-width-percent:0;mso-height-percent:0;mso-position-vertical:bottom;mso-width-percent:0;mso-height-percent:0">
                  <v:imagedata r:id="rId22" o:title=""/>
                </v:shape>
              </w:pict>
            </w:r>
            <w:r>
              <w:rPr>
                <w:rFonts w:ascii="SimSun" w:hAnsi="SimSun"/>
                <w:color w:val="000000"/>
              </w:rPr>
              <w:t>核酸包裹在纳米颗粒中，制成疫苗。接种后，在人体内产生</w:t>
            </w:r>
            <w:r>
              <w:rPr>
                <w:rFonts w:eastAsia="Times New Roman" w:cs="Times New Roman"/>
                <w:color w:val="000000"/>
              </w:rPr>
              <w:t>S</w:t>
            </w:r>
            <w:r>
              <w:rPr>
                <w:rFonts w:ascii="SimSun" w:hAnsi="SimSun"/>
                <w:color w:val="000000"/>
              </w:rPr>
              <w:t>蛋白。</w:t>
            </w:r>
          </w:p>
        </w:tc>
      </w:tr>
      <w:tr w:rsidR="00026BD2">
        <w:trPr>
          <w:trHeight w:val="330"/>
        </w:trPr>
        <w:tc>
          <w:tcPr>
            <w:tcW w:w="19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减毒流感病毒载体疫苗</w:t>
            </w:r>
          </w:p>
        </w:tc>
        <w:tc>
          <w:tcPr>
            <w:tcW w:w="80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left"/>
              <w:textAlignment w:val="center"/>
              <w:rPr>
                <w:rFonts w:ascii="SimSun" w:hAnsi="SimSun"/>
                <w:color w:val="000000"/>
              </w:rPr>
            </w:pPr>
            <w:r>
              <w:rPr>
                <w:rFonts w:ascii="SimSun" w:hAnsi="SimSun"/>
                <w:color w:val="000000"/>
              </w:rPr>
              <w:t>利用减毒流感病毒作为载体，带</w:t>
            </w:r>
            <w:r>
              <w:rPr>
                <w:rFonts w:eastAsia="Times New Roman" w:cs="Times New Roman"/>
                <w:color w:val="000000"/>
              </w:rPr>
              <w:t>S</w:t>
            </w:r>
            <w:r>
              <w:rPr>
                <w:rFonts w:ascii="SimSun" w:hAnsi="SimSun"/>
                <w:color w:val="000000"/>
              </w:rPr>
              <w:t>蛋白基因，并在载体病毒表面表达</w:t>
            </w:r>
            <w:r>
              <w:rPr>
                <w:rFonts w:eastAsia="Times New Roman" w:cs="Times New Roman"/>
                <w:color w:val="000000"/>
              </w:rPr>
              <w:t>S</w:t>
            </w:r>
            <w:r>
              <w:rPr>
                <w:rFonts w:ascii="SimSun" w:hAnsi="SimSun"/>
                <w:color w:val="000000"/>
              </w:rPr>
              <w:t>蛋白，制成疫苗。</w:t>
            </w:r>
          </w:p>
        </w:tc>
      </w:tr>
    </w:tbl>
    <w:p w:rsidR="00D02616" w:rsidRDefault="00D02616">
      <w:pPr>
        <w:spacing w:line="360" w:lineRule="auto"/>
        <w:jc w:val="left"/>
        <w:textAlignment w:val="center"/>
        <w:rPr>
          <w:color w:val="000000"/>
        </w:rPr>
      </w:pPr>
      <w:r>
        <w:t xml:space="preserve"> </w:t>
      </w:r>
      <w:r w:rsidR="00AB4A91">
        <w:rPr>
          <w:noProof/>
        </w:rPr>
      </w:r>
      <w:r w:rsidR="00AB4A91">
        <w:rPr>
          <w:noProof/>
        </w:rPr>
        <w:pict>
          <v:shape id="_x0000_i1079"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9. </w:t>
      </w:r>
      <w:r>
        <w:rPr>
          <w:rFonts w:ascii="SimSun" w:hAnsi="SimSun"/>
          <w:color w:val="000000"/>
        </w:rPr>
        <w:t>自身不含</w:t>
      </w:r>
      <w:r>
        <w:rPr>
          <w:rFonts w:eastAsia="Times New Roman" w:cs="Times New Roman"/>
          <w:color w:val="000000"/>
        </w:rPr>
        <w:t>S</w:t>
      </w:r>
      <w:r>
        <w:rPr>
          <w:rFonts w:ascii="SimSun" w:hAnsi="SimSun"/>
          <w:color w:val="000000"/>
        </w:rPr>
        <w:t>蛋白抗原的疫苗是（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80"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灭活疫苗</w:t>
      </w:r>
      <w:r>
        <w:rPr>
          <w:color w:val="000000"/>
        </w:rPr>
        <w:tab/>
        <w:t xml:space="preserve">B. </w:t>
      </w:r>
      <w:r>
        <w:rPr>
          <w:rFonts w:ascii="SimSun" w:hAnsi="SimSun"/>
          <w:color w:val="000000"/>
        </w:rPr>
        <w:t>亚单位疫苗</w:t>
      </w:r>
      <w:r w:rsidR="00AB4A91">
        <w:rPr>
          <w:noProof/>
        </w:rPr>
      </w:r>
      <w:r w:rsidR="00AB4A91">
        <w:rPr>
          <w:noProof/>
        </w:rPr>
        <w:pict>
          <v:shape id="_x0000_i1081"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color w:val="000000"/>
        </w:rPr>
        <w:t xml:space="preserve">C. </w:t>
      </w:r>
      <w:r>
        <w:rPr>
          <w:rFonts w:ascii="SimSun" w:hAnsi="SimSun"/>
          <w:color w:val="000000"/>
        </w:rPr>
        <w:t>核酸疫苗</w:t>
      </w:r>
      <w:r>
        <w:rPr>
          <w:color w:val="000000"/>
        </w:rPr>
        <w:tab/>
        <w:t xml:space="preserve">D. </w:t>
      </w:r>
      <w:r>
        <w:rPr>
          <w:rFonts w:ascii="SimSun" w:hAnsi="SimSun"/>
          <w:color w:val="000000"/>
        </w:rPr>
        <w:t>减毒流感病毒载体疫苗</w:t>
      </w:r>
      <w:r w:rsidR="00AB4A91">
        <w:rPr>
          <w:noProof/>
        </w:rPr>
      </w:r>
      <w:r w:rsidR="00AB4A91">
        <w:rPr>
          <w:noProof/>
        </w:rPr>
        <w:pict>
          <v:shape id="_x0000_i1082"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10. </w:t>
      </w:r>
      <w:r>
        <w:rPr>
          <w:rFonts w:ascii="SimSun" w:hAnsi="SimSun"/>
          <w:color w:val="000000"/>
        </w:rPr>
        <w:t>通常不引发细胞免疫的疫苗是（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83"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color w:val="000000"/>
        </w:rPr>
        <w:t xml:space="preserve">A. </w:t>
      </w:r>
      <w:r>
        <w:rPr>
          <w:rFonts w:ascii="SimSun" w:hAnsi="SimSun"/>
          <w:color w:val="000000"/>
        </w:rPr>
        <w:t>腺病毒载体疫苗</w:t>
      </w:r>
      <w:r>
        <w:rPr>
          <w:color w:val="000000"/>
        </w:rPr>
        <w:tab/>
        <w:t xml:space="preserve">B. </w:t>
      </w:r>
      <w:r>
        <w:rPr>
          <w:rFonts w:ascii="SimSun" w:hAnsi="SimSun"/>
          <w:color w:val="000000"/>
        </w:rPr>
        <w:t>亚单位疫苗</w:t>
      </w:r>
      <w:r w:rsidR="00AB4A91">
        <w:rPr>
          <w:noProof/>
        </w:rPr>
      </w:r>
      <w:r w:rsidR="00AB4A91">
        <w:rPr>
          <w:noProof/>
        </w:rPr>
        <w:pict>
          <v:shape id="_x0000_i1084"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color w:val="000000"/>
        </w:rPr>
        <w:t>C</w:t>
      </w:r>
      <w:r w:rsidR="00AB4A91">
        <w:rPr>
          <w:noProof/>
          <w:color w:val="000000"/>
          <w:position w:val="-22"/>
        </w:rPr>
      </w:r>
      <w:r w:rsidR="00AB4A91">
        <w:rPr>
          <w:noProof/>
          <w:color w:val="000000"/>
          <w:position w:val="-22"/>
        </w:rPr>
        <w:pict>
          <v:shape id="_x0000_i1085" type="#_x0000_t75" alt="" style="width:2.6pt;height:6.95pt;mso-width-percent:0;mso-height-percent:0;mso-position-vertical:bottom;mso-width-percent:0;mso-height-percent:0">
            <v:imagedata r:id="rId12" o:title=""/>
          </v:shape>
        </w:pict>
      </w:r>
      <w:r>
        <w:rPr>
          <w:color w:val="000000"/>
        </w:rPr>
        <w:t xml:space="preserve"> </w:t>
      </w:r>
      <w:r>
        <w:rPr>
          <w:rFonts w:ascii="SimSun" w:hAnsi="SimSun"/>
          <w:color w:val="000000"/>
        </w:rPr>
        <w:t>核酸疫苗</w:t>
      </w:r>
      <w:r>
        <w:rPr>
          <w:color w:val="000000"/>
        </w:rPr>
        <w:tab/>
        <w:t xml:space="preserve">D. </w:t>
      </w:r>
      <w:r>
        <w:rPr>
          <w:rFonts w:ascii="SimSun" w:hAnsi="SimSun"/>
          <w:color w:val="000000"/>
        </w:rPr>
        <w:t>减毒流感病毒载体疫苗</w:t>
      </w:r>
      <w:r w:rsidR="00AB4A91">
        <w:rPr>
          <w:noProof/>
        </w:rPr>
      </w:r>
      <w:r w:rsidR="00AB4A91">
        <w:rPr>
          <w:noProof/>
        </w:rPr>
        <w:pict>
          <v:shape id="_x0000_i108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阅读下列材料，完成下面小题。</w:t>
      </w:r>
      <w:r w:rsidR="00AB4A91">
        <w:rPr>
          <w:noProof/>
        </w:rPr>
      </w:r>
      <w:r w:rsidR="00AB4A91">
        <w:rPr>
          <w:noProof/>
        </w:rPr>
        <w:pict>
          <v:shape id="_x0000_i108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为提高转基因抗虫棉的抗虫持久性，可采取如下措施：</w:t>
      </w:r>
      <w:r w:rsidR="00AB4A91">
        <w:rPr>
          <w:noProof/>
        </w:rPr>
      </w:r>
      <w:r w:rsidR="00AB4A91">
        <w:rPr>
          <w:noProof/>
        </w:rPr>
        <w:pict>
          <v:shape id="_x0000_i1088"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①基因策略：包括提高杀虫基因的表达量、向棉花中转入多种杀虫基因等。例如，早期种植的抗虫棉只转入了一种</w:t>
      </w:r>
      <w:r>
        <w:rPr>
          <w:rFonts w:eastAsia="Times New Roman" w:cs="Times New Roman"/>
          <w:color w:val="000000"/>
        </w:rPr>
        <w:t>Bt</w:t>
      </w:r>
      <w:r>
        <w:rPr>
          <w:rFonts w:ascii="SimSun" w:hAnsi="SimSun"/>
          <w:color w:val="000000"/>
        </w:rPr>
        <w:t>毒蛋白基因，抗虫机制比较单一；现在经常将两种或两种以上</w:t>
      </w:r>
      <w:r>
        <w:rPr>
          <w:rFonts w:eastAsia="Times New Roman" w:cs="Times New Roman"/>
          <w:color w:val="000000"/>
        </w:rPr>
        <w:t>Bt</w:t>
      </w:r>
      <w:r>
        <w:rPr>
          <w:rFonts w:ascii="SimSun" w:hAnsi="SimSun"/>
          <w:color w:val="000000"/>
        </w:rPr>
        <w:t>基同时转入棉花。</w:t>
      </w:r>
      <w:r w:rsidR="00AB4A91">
        <w:rPr>
          <w:noProof/>
        </w:rPr>
      </w:r>
      <w:r w:rsidR="00AB4A91">
        <w:rPr>
          <w:noProof/>
        </w:rPr>
        <w:pict>
          <v:shape id="_x0000_i1089"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lastRenderedPageBreak/>
        <w:t>②田间策略：主要是为棉铃虫提供底护所。例如我国新疆棉区，在转基因棉田周围种植一定面积的非转基因棉花，为棉铃虫提供专门的庇护所：长江、黄河流域棉区多采用将转基因抗虫棉与高粱和玉米等其他棉铃虫寄主作物混作的方式，为棉铃虫提供天然的庇护所。</w:t>
      </w:r>
      <w:r w:rsidR="00AB4A91">
        <w:rPr>
          <w:noProof/>
        </w:rPr>
      </w:r>
      <w:r w:rsidR="00AB4A91">
        <w:rPr>
          <w:noProof/>
        </w:rPr>
        <w:pict>
          <v:shape id="_x0000_i1090"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③国家宏观调控政策：如实施分区种植管理等。</w:t>
      </w:r>
      <w:r w:rsidR="00AB4A91">
        <w:rPr>
          <w:noProof/>
        </w:rPr>
      </w:r>
      <w:r w:rsidR="00AB4A91">
        <w:rPr>
          <w:noProof/>
        </w:rPr>
        <w:pict>
          <v:shape id="_x0000_i1091"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11. 关于上述基因策略，下列叙述错误的是（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92"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A. 提高</w:t>
      </w:r>
      <w:r>
        <w:rPr>
          <w:rFonts w:eastAsia="Times New Roman" w:cs="Times New Roman"/>
          <w:color w:val="000000"/>
        </w:rPr>
        <w:t>Bt</w:t>
      </w:r>
      <w:r>
        <w:rPr>
          <w:rFonts w:ascii="SimSun" w:hAnsi="SimSun"/>
          <w:color w:val="000000"/>
        </w:rPr>
        <w:t>基因的表达量，可降低抗虫棉种植区的棉铃虫种群密度</w:t>
      </w:r>
      <w:r w:rsidR="00AB4A91">
        <w:rPr>
          <w:noProof/>
        </w:rPr>
      </w:r>
      <w:r w:rsidR="00AB4A91">
        <w:rPr>
          <w:noProof/>
        </w:rPr>
        <w:pict>
          <v:shape id="_x0000_i1093"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B. 转入棉花植株的两种</w:t>
      </w:r>
      <w:r>
        <w:rPr>
          <w:rFonts w:eastAsia="Times New Roman" w:cs="Times New Roman"/>
          <w:color w:val="000000"/>
        </w:rPr>
        <w:t>Bt</w:t>
      </w:r>
      <w:r>
        <w:rPr>
          <w:rFonts w:ascii="SimSun" w:hAnsi="SimSun"/>
          <w:color w:val="000000"/>
        </w:rPr>
        <w:t>基因的遗传不一定遵循基因的自由组合定律</w:t>
      </w:r>
      <w:r w:rsidR="00AB4A91">
        <w:rPr>
          <w:noProof/>
        </w:rPr>
      </w:r>
      <w:r w:rsidR="00AB4A91">
        <w:rPr>
          <w:noProof/>
        </w:rPr>
        <w:pict>
          <v:shape id="_x0000_i109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C. 若两种</w:t>
      </w:r>
      <w:r>
        <w:rPr>
          <w:rFonts w:eastAsia="Times New Roman" w:cs="Times New Roman"/>
          <w:color w:val="000000"/>
        </w:rPr>
        <w:t>Bt</w:t>
      </w:r>
      <w:r>
        <w:rPr>
          <w:rFonts w:ascii="SimSun" w:hAnsi="SimSun"/>
          <w:color w:val="000000"/>
        </w:rPr>
        <w:t>基因插入同一个</w:t>
      </w:r>
      <w:r>
        <w:rPr>
          <w:rFonts w:eastAsia="Times New Roman" w:cs="Times New Roman"/>
          <w:color w:val="000000"/>
        </w:rPr>
        <w:t>T-DNA</w:t>
      </w:r>
      <w:r>
        <w:rPr>
          <w:rFonts w:ascii="SimSun" w:hAnsi="SimSun"/>
          <w:color w:val="000000"/>
        </w:rPr>
        <w:t>并转入棉花植株，则两种基因互为等位基因</w:t>
      </w:r>
      <w:r w:rsidR="00AB4A91">
        <w:rPr>
          <w:noProof/>
        </w:rPr>
      </w:r>
      <w:r w:rsidR="00AB4A91">
        <w:rPr>
          <w:noProof/>
        </w:rPr>
        <w:pict>
          <v:shape id="_x0000_i1095"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D. 转入多种</w:t>
      </w:r>
      <w:r>
        <w:rPr>
          <w:rFonts w:eastAsia="Times New Roman" w:cs="Times New Roman"/>
          <w:color w:val="000000"/>
        </w:rPr>
        <w:t>Bt</w:t>
      </w:r>
      <w:r>
        <w:rPr>
          <w:rFonts w:ascii="SimSun" w:hAnsi="SimSun"/>
          <w:color w:val="000000"/>
        </w:rPr>
        <w:t>基因能提高抗虫持久性，是因为棉铃虫基因突变频率低且不定向</w:t>
      </w:r>
      <w:r w:rsidR="00AB4A91">
        <w:rPr>
          <w:noProof/>
        </w:rPr>
      </w:r>
      <w:r w:rsidR="00AB4A91">
        <w:rPr>
          <w:noProof/>
        </w:rPr>
        <w:pict>
          <v:shape id="_x0000_i109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12. 关于上述田间策略，下列叙述错误的是（</w:t>
      </w:r>
      <w:r>
        <w:rPr>
          <w:rFonts w:eastAsia="Times New Roman" w:cs="Times New Roman"/>
          <w:color w:val="000000"/>
        </w:rPr>
        <w:t xml:space="preserve">    </w:t>
      </w:r>
      <w:r>
        <w:rPr>
          <w:rFonts w:ascii="SimSun" w:hAnsi="SimSun"/>
          <w:color w:val="000000"/>
        </w:rPr>
        <w:t>）</w:t>
      </w:r>
      <w:r w:rsidR="00AB4A91">
        <w:rPr>
          <w:noProof/>
        </w:rPr>
      </w:r>
      <w:r w:rsidR="00AB4A91">
        <w:rPr>
          <w:noProof/>
        </w:rPr>
        <w:pict>
          <v:shape id="_x0000_i109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A. 转基因棉田周围种植非抗虫棉，可降低棉铃虫抗性基因的突变率</w:t>
      </w:r>
      <w:r w:rsidR="00AB4A91">
        <w:rPr>
          <w:noProof/>
        </w:rPr>
      </w:r>
      <w:r w:rsidR="00AB4A91">
        <w:rPr>
          <w:noProof/>
        </w:rPr>
        <w:pict>
          <v:shape id="_x0000_i1098"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B. 混作提高抗虫棉的抗虫持久性，体现了物种多样性的重要价值</w:t>
      </w:r>
      <w:r w:rsidR="00AB4A91">
        <w:rPr>
          <w:noProof/>
        </w:rPr>
      </w:r>
      <w:r w:rsidR="00AB4A91">
        <w:rPr>
          <w:noProof/>
        </w:rPr>
        <w:pict>
          <v:shape id="_x0000_i1099"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C. 为棉铃虫提供底护所，可使敏感棉铃虫在种群中维持一定比例</w:t>
      </w:r>
      <w:r w:rsidR="00AB4A91">
        <w:rPr>
          <w:noProof/>
        </w:rPr>
      </w:r>
      <w:r w:rsidR="00AB4A91">
        <w:rPr>
          <w:noProof/>
        </w:rPr>
        <w:pict>
          <v:shape id="_x0000_i1100"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D. 为棉铃虫提供庇护所，可使棉铃虫种群抗性基因频率增速放缓</w:t>
      </w:r>
      <w:r w:rsidR="00AB4A91">
        <w:rPr>
          <w:noProof/>
        </w:rPr>
      </w:r>
      <w:r w:rsidR="00AB4A91">
        <w:rPr>
          <w:noProof/>
        </w:rPr>
        <w:pict>
          <v:shape id="_x0000_i1101"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13. </w:t>
      </w:r>
      <w:r>
        <w:rPr>
          <w:rFonts w:ascii="SimSun" w:hAnsi="SimSun"/>
          <w:color w:val="000000"/>
        </w:rPr>
        <w:t>为研究降水量影响草原小型啮齿动物种群密度的机制，科研人员以田鼠幼鼠为材料进行了一系列实验。其中，野外实验在内蒙古半干旱草原开展，将相同体重的幼鼠放入不同样地中，</w:t>
      </w:r>
      <w:r>
        <w:rPr>
          <w:rFonts w:eastAsia="Times New Roman" w:cs="Times New Roman"/>
          <w:color w:val="000000"/>
        </w:rPr>
        <w:t>5</w:t>
      </w:r>
      <w:r>
        <w:rPr>
          <w:rFonts w:ascii="SimSun" w:hAnsi="SimSun"/>
          <w:color w:val="000000"/>
        </w:rPr>
        <w:t>个月后测定相关指标，部分结果见下图。</w:t>
      </w:r>
      <w:r w:rsidR="00AB4A91">
        <w:rPr>
          <w:noProof/>
        </w:rPr>
      </w:r>
      <w:r w:rsidR="00AB4A91">
        <w:rPr>
          <w:noProof/>
        </w:rPr>
        <w:pict>
          <v:shape id="_x0000_i1102"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ascii="SimSun" w:hAnsi="SimSun"/>
          <w:noProof/>
          <w:color w:val="000000"/>
        </w:rPr>
      </w:r>
      <w:r w:rsidR="00AB4A91">
        <w:rPr>
          <w:rFonts w:ascii="SimSun" w:hAnsi="SimSun"/>
          <w:noProof/>
          <w:color w:val="000000"/>
        </w:rPr>
        <w:pict>
          <v:shape id="_x0000_i1103" type="#_x0000_t75" alt="" style="width:367.8pt;height:142.25pt;mso-width-percent:0;mso-height-percent:0;mso-width-percent:0;mso-height-percent:0">
            <v:imagedata r:id="rId23" o:title=""/>
          </v:shape>
        </w:pict>
      </w:r>
      <w:r w:rsidR="00D02616">
        <w:rPr>
          <w:rFonts w:ascii="SimSun" w:hAnsi="SimSun"/>
          <w:color w:val="000000"/>
        </w:rPr>
        <w:br/>
      </w:r>
      <w:r>
        <w:rPr>
          <w:noProof/>
        </w:rPr>
      </w:r>
      <w:r w:rsidR="00AB4A91">
        <w:rPr>
          <w:noProof/>
        </w:rPr>
        <w:pict>
          <v:shape id="_x0000_i110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（1）由图</w:t>
      </w:r>
      <w:r>
        <w:rPr>
          <w:rFonts w:eastAsia="Times New Roman" w:cs="Times New Roman"/>
          <w:color w:val="000000"/>
        </w:rPr>
        <w:t>1</w:t>
      </w:r>
      <w:r>
        <w:rPr>
          <w:rFonts w:ascii="SimSun" w:hAnsi="SimSun"/>
          <w:color w:val="000000"/>
        </w:rPr>
        <w:t>可知，___________组田鼠体重增幅更大。田鼠体重增加有利于个体存活、育龄个体增多，影响田鼠种群的___________，从而直接导致种群密度增加。</w:t>
      </w:r>
      <w:r w:rsidR="00AB4A91">
        <w:rPr>
          <w:noProof/>
        </w:rPr>
      </w:r>
      <w:r w:rsidR="00AB4A91">
        <w:rPr>
          <w:noProof/>
        </w:rPr>
        <w:pict>
          <v:shape id="_x0000_i1105"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（2）由图</w:t>
      </w:r>
      <w:r>
        <w:rPr>
          <w:rFonts w:eastAsia="Times New Roman" w:cs="Times New Roman"/>
          <w:color w:val="000000"/>
        </w:rPr>
        <w:t>2</w:t>
      </w:r>
      <w:r>
        <w:rPr>
          <w:rFonts w:ascii="SimSun" w:hAnsi="SimSun"/>
          <w:color w:val="000000"/>
        </w:rPr>
        <w:t>可知，增加降水有利于___________生长，其在田鼠食谱中所占比例增加，田鼠食谱发生变化。</w:t>
      </w:r>
      <w:r w:rsidR="00AB4A91">
        <w:rPr>
          <w:noProof/>
        </w:rPr>
      </w:r>
      <w:r w:rsidR="00AB4A91">
        <w:rPr>
          <w:noProof/>
        </w:rPr>
        <w:pict>
          <v:shape id="_x0000_i110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（3）随后在室内模拟野外半干旱和增加降水组的食谱，分别对两组田鼠幼鼠进行饲喂，一段时间后，比较两组田鼠体重增幅。该实验目的为___________．</w:t>
      </w:r>
      <w:r w:rsidR="00AB4A91">
        <w:rPr>
          <w:noProof/>
        </w:rPr>
      </w:r>
      <w:r w:rsidR="00AB4A91">
        <w:rPr>
          <w:noProof/>
        </w:rPr>
        <w:pict>
          <v:shape id="_x0000_i110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lastRenderedPageBreak/>
        <w:t>（4）进一步研究发现，增加降水引起田鼠食谱变化后，田鼠肠道微生物组成也发生变化，其中能利用草中的纤维素等物质合成并分泌短链脂肪酸（田鼠的能量来源之一）的微生物比例显著增加。田鼠与这类微生物的种间关系为___________。请在图中用箭头标示肠道微生物三类生物之间的能量流动方向。______</w:t>
      </w:r>
      <w:r w:rsidR="00AB4A91">
        <w:rPr>
          <w:noProof/>
        </w:rPr>
      </w:r>
      <w:r w:rsidR="00AB4A91">
        <w:rPr>
          <w:noProof/>
        </w:rPr>
        <w:pict>
          <v:shape id="_x0000_i1108"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ascii="SimSun" w:hAnsi="SimSun"/>
          <w:noProof/>
          <w:color w:val="000000"/>
        </w:rPr>
      </w:r>
      <w:r w:rsidR="00AB4A91">
        <w:rPr>
          <w:rFonts w:ascii="SimSun" w:hAnsi="SimSun"/>
          <w:noProof/>
          <w:color w:val="000000"/>
        </w:rPr>
        <w:pict>
          <v:shape id="_x0000_i1109" type="#_x0000_t75" alt="" style="width:146.6pt;height:91.1pt;mso-width-percent:0;mso-height-percent:0;mso-width-percent:0;mso-height-percent:0">
            <v:imagedata r:id="rId24" o:title=""/>
          </v:shape>
        </w:pict>
      </w:r>
      <w:r w:rsidR="00D02616">
        <w:rPr>
          <w:rFonts w:ascii="SimSun" w:hAnsi="SimSun"/>
          <w:color w:val="000000"/>
        </w:rPr>
        <w:br/>
      </w:r>
      <w:r>
        <w:rPr>
          <w:noProof/>
        </w:rPr>
      </w:r>
      <w:r w:rsidR="00AB4A91">
        <w:rPr>
          <w:noProof/>
        </w:rPr>
        <w:pict>
          <v:shape id="_x0000_i1110"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14. </w:t>
      </w:r>
      <w:r>
        <w:rPr>
          <w:rFonts w:ascii="SimSun" w:hAnsi="SimSun"/>
          <w:color w:val="000000"/>
        </w:rPr>
        <w:t>阿卡波糖是国外开发的口服降糖药，可有效降低餐后血糖高峰。为开发具有自主知识产权的同类型新药，我国科研人员研究了植物来源的生物碱</w:t>
      </w:r>
      <w:r>
        <w:rPr>
          <w:rFonts w:eastAsia="Times New Roman" w:cs="Times New Roman"/>
          <w:color w:val="000000"/>
        </w:rPr>
        <w:t>NB</w:t>
      </w:r>
      <w:r>
        <w:rPr>
          <w:rFonts w:ascii="SimSun" w:hAnsi="SimSun"/>
          <w:color w:val="000000"/>
        </w:rPr>
        <w:t>和黄酮</w:t>
      </w:r>
      <w:r>
        <w:rPr>
          <w:rFonts w:eastAsia="Times New Roman" w:cs="Times New Roman"/>
          <w:color w:val="000000"/>
        </w:rPr>
        <w:t>CH</w:t>
      </w:r>
      <w:r>
        <w:rPr>
          <w:rFonts w:ascii="SimSun" w:hAnsi="SimSun"/>
          <w:color w:val="000000"/>
        </w:rPr>
        <w:t>对餐后血糖的影响。为此，将溶于生理盐水的药物和淀粉同时灌胃小鼠后，在不同时间检测其血糖水平，实验设计及部分结果如下表所示。</w:t>
      </w:r>
      <w:r w:rsidR="00AB4A91">
        <w:rPr>
          <w:noProof/>
        </w:rPr>
      </w:r>
      <w:r w:rsidR="00AB4A91">
        <w:rPr>
          <w:noProof/>
        </w:rPr>
        <w:pict>
          <v:shape id="_x0000_i1111" type="#_x0000_t75" alt="学科网 zxxk.com" style="width:.85pt;height:.85pt;mso-width-percent:0;mso-height-percent:0;mso-width-percent:0;mso-height-percent:0">
            <v:imagedata r:id="rId8" o:title=""/>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15"/>
        <w:gridCol w:w="2289"/>
        <w:gridCol w:w="808"/>
        <w:gridCol w:w="913"/>
        <w:gridCol w:w="913"/>
        <w:gridCol w:w="1018"/>
      </w:tblGrid>
      <w:tr w:rsidR="00026BD2">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组别（每组</w:t>
            </w:r>
            <w:r>
              <w:rPr>
                <w:rFonts w:eastAsia="Times New Roman" w:cs="Times New Roman"/>
                <w:color w:val="000000"/>
              </w:rPr>
              <w:t>10</w:t>
            </w:r>
            <w:r>
              <w:rPr>
                <w:rFonts w:ascii="SimSun" w:hAnsi="SimSun"/>
                <w:color w:val="000000"/>
              </w:rPr>
              <w:t>只）</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给药量（</w:t>
            </w:r>
            <w:r>
              <w:rPr>
                <w:rFonts w:eastAsia="Times New Roman" w:cs="Times New Roman"/>
                <w:color w:val="000000"/>
              </w:rPr>
              <w:t>mg/kg</w:t>
            </w:r>
            <w:r>
              <w:rPr>
                <w:rFonts w:ascii="SimSun" w:hAnsi="SimSun"/>
                <w:color w:val="000000"/>
              </w:rPr>
              <w:t>体重）</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给药后不同时间血糖水平（</w:t>
            </w:r>
            <w:r>
              <w:rPr>
                <w:rFonts w:eastAsia="Times New Roman" w:cs="Times New Roman"/>
                <w:color w:val="000000"/>
              </w:rPr>
              <w:t>mmol/L</w:t>
            </w:r>
            <w:r>
              <w:rPr>
                <w:rFonts w:ascii="SimSun" w:hAnsi="SimSun"/>
                <w:color w:val="000000"/>
              </w:rPr>
              <w:t>）</w:t>
            </w:r>
          </w:p>
        </w:tc>
      </w:tr>
      <w:tr w:rsidR="00026BD2">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D02616" w:rsidRDefault="00D02616">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D02616" w:rsidRDefault="00D02616">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eastAsia="Times New Roman" w:cs="Times New Roman"/>
                <w:color w:val="000000"/>
              </w:rPr>
              <w:t>0</w:t>
            </w:r>
            <w:r>
              <w:rPr>
                <w:rFonts w:ascii="SimSun" w:hAnsi="SimSun"/>
                <w:color w:val="000000"/>
              </w:rP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eastAsia="Times New Roman" w:cs="Times New Roman"/>
                <w:color w:val="000000"/>
              </w:rPr>
              <w:t>30</w:t>
            </w:r>
            <w:r>
              <w:rPr>
                <w:rFonts w:ascii="SimSun" w:hAnsi="SimSun"/>
                <w:color w:val="000000"/>
              </w:rP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eastAsia="Times New Roman" w:cs="Times New Roman"/>
                <w:color w:val="000000"/>
              </w:rPr>
              <w:t>60</w:t>
            </w:r>
            <w:r>
              <w:rPr>
                <w:rFonts w:ascii="SimSun" w:hAnsi="SimSun"/>
                <w:color w:val="000000"/>
              </w:rPr>
              <w:t>分钟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eastAsia="Times New Roman" w:cs="Times New Roman"/>
                <w:color w:val="000000"/>
              </w:rPr>
              <w:t>120</w:t>
            </w:r>
            <w:r>
              <w:rPr>
                <w:rFonts w:ascii="SimSun" w:hAnsi="SimSun"/>
                <w:color w:val="000000"/>
              </w:rPr>
              <w:t>分钟</w:t>
            </w:r>
          </w:p>
        </w:tc>
      </w:tr>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生理盐水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11</w:t>
            </w:r>
            <w:r>
              <w:rPr>
                <w:rFonts w:ascii="SimSun" w:hAnsi="SimSun"/>
                <w:color w:val="000000"/>
              </w:rPr>
              <w:t>．</w:t>
            </w:r>
            <w:r>
              <w:rPr>
                <w:rFonts w:eastAsia="Times New Roman" w:cs="Times New Roman"/>
                <w:color w:val="000000"/>
              </w:rPr>
              <w:t>03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88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04</w:t>
            </w:r>
          </w:p>
        </w:tc>
      </w:tr>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ascii="SimSun" w:hAnsi="SimSun"/>
                <w:color w:val="000000"/>
              </w:rPr>
            </w:pPr>
            <w:r>
              <w:rPr>
                <w:rFonts w:ascii="SimSun" w:hAnsi="SimSun"/>
                <w:color w:val="000000"/>
              </w:rPr>
              <w:t>阿卡波糖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62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57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39</w:t>
            </w:r>
          </w:p>
        </w:tc>
      </w:tr>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NB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19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x</w:t>
            </w:r>
            <w:r>
              <w:rPr>
                <w:rFonts w:eastAsia="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6</w:t>
            </w:r>
            <w:r>
              <w:rPr>
                <w:rFonts w:ascii="SimSun" w:hAnsi="SimSun"/>
                <w:color w:val="000000"/>
              </w:rPr>
              <w:t>．</w:t>
            </w:r>
            <w:r>
              <w:rPr>
                <w:rFonts w:eastAsia="Times New Roman" w:cs="Times New Roman"/>
                <w:color w:val="000000"/>
              </w:rPr>
              <w:t>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20</w:t>
            </w:r>
          </w:p>
        </w:tc>
      </w:tr>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CH</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x</w:t>
            </w:r>
            <w:r>
              <w:rPr>
                <w:rFonts w:eastAsia="Times New Roman" w:cs="Times New Roman"/>
                <w:color w:val="000000"/>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7</w:t>
            </w:r>
            <w:r>
              <w:rPr>
                <w:rFonts w:ascii="SimSun" w:hAnsi="SimSun"/>
                <w:color w:val="000000"/>
              </w:rPr>
              <w:t>．</w:t>
            </w:r>
            <w:r>
              <w:rPr>
                <w:rFonts w:eastAsia="Times New Roman" w:cs="Times New Roman"/>
                <w:color w:val="000000"/>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12</w:t>
            </w:r>
          </w:p>
        </w:tc>
      </w:tr>
      <w:tr w:rsidR="00026BD2">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NB+CH</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0+4</w:t>
            </w:r>
            <w:r>
              <w:rPr>
                <w:rFonts w:ascii="SimSun" w:hAnsi="SimSun"/>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4</w:t>
            </w:r>
            <w:r>
              <w:rPr>
                <w:rFonts w:ascii="SimSun" w:hAnsi="SimSun"/>
                <w:color w:val="000000"/>
              </w:rPr>
              <w:t>．</w:t>
            </w:r>
            <w:r>
              <w:rPr>
                <w:rFonts w:eastAsia="Times New Roman" w:cs="Times New Roman"/>
                <w:color w:val="000000"/>
              </w:rPr>
              <w:t>36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x</w:t>
            </w:r>
            <w:r>
              <w:rPr>
                <w:rFonts w:eastAsia="Times New Roman" w:cs="Times New Roman"/>
                <w:color w:val="000000"/>
                <w:vertAlign w:val="subscript"/>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49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02616" w:rsidRDefault="00D02616">
            <w:pPr>
              <w:spacing w:line="360" w:lineRule="auto"/>
              <w:jc w:val="center"/>
              <w:textAlignment w:val="center"/>
              <w:rPr>
                <w:rFonts w:eastAsia="Times New Roman" w:cs="Times New Roman"/>
                <w:color w:val="000000"/>
              </w:rPr>
            </w:pPr>
            <w:r>
              <w:rPr>
                <w:rFonts w:eastAsia="Times New Roman" w:cs="Times New Roman"/>
                <w:color w:val="000000"/>
              </w:rPr>
              <w:t>5</w:t>
            </w:r>
            <w:r>
              <w:rPr>
                <w:rFonts w:ascii="SimSun" w:hAnsi="SimSun"/>
                <w:color w:val="000000"/>
              </w:rPr>
              <w:t>．</w:t>
            </w:r>
            <w:r>
              <w:rPr>
                <w:rFonts w:eastAsia="Times New Roman" w:cs="Times New Roman"/>
                <w:color w:val="000000"/>
              </w:rPr>
              <w:t>03</w:t>
            </w:r>
          </w:p>
        </w:tc>
      </w:tr>
    </w:tbl>
    <w:p w:rsidR="00D02616" w:rsidRDefault="00D02616">
      <w:pPr>
        <w:spacing w:line="360" w:lineRule="auto"/>
        <w:jc w:val="left"/>
        <w:textAlignment w:val="center"/>
        <w:rPr>
          <w:color w:val="000000"/>
        </w:rPr>
      </w:pPr>
      <w:r>
        <w:t xml:space="preserve"> </w:t>
      </w:r>
      <w:r w:rsidR="00AB4A91">
        <w:rPr>
          <w:noProof/>
        </w:rPr>
      </w:r>
      <w:r w:rsidR="00AB4A91">
        <w:rPr>
          <w:noProof/>
        </w:rPr>
        <w:pict>
          <v:shape id="_x0000_i1112"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w:t>
      </w:r>
      <w:r>
        <w:rPr>
          <w:color w:val="000000"/>
        </w:rPr>
        <w:t>1</w:t>
      </w:r>
      <w:r>
        <w:rPr>
          <w:color w:val="000000"/>
        </w:rPr>
        <w:t>）</w:t>
      </w:r>
      <w:r>
        <w:rPr>
          <w:rFonts w:ascii="SimSun" w:hAnsi="SimSun"/>
          <w:color w:val="000000"/>
        </w:rPr>
        <w:t>将淀粉灌胃小鼠后，其在小鼠消化道内水解</w:t>
      </w:r>
      <w:r w:rsidR="00AB4A91">
        <w:rPr>
          <w:rFonts w:ascii="SimSun" w:hAnsi="SimSun"/>
          <w:noProof/>
          <w:color w:val="000000"/>
        </w:rPr>
      </w:r>
      <w:r w:rsidR="00AB4A91">
        <w:rPr>
          <w:rFonts w:ascii="SimSun" w:hAnsi="SimSun"/>
          <w:noProof/>
          <w:color w:val="000000"/>
        </w:rPr>
        <w:pict>
          <v:shape id="_x0000_i1113" type="#_x0000_t75" alt="" style="width:10.4pt;height:13.9pt;mso-width-percent:0;mso-height-percent:0;mso-position-vertical:bottom;mso-width-percent:0;mso-height-percent:0">
            <v:imagedata r:id="rId22" o:title=""/>
          </v:shape>
        </w:pict>
      </w:r>
      <w:r>
        <w:rPr>
          <w:rFonts w:ascii="SimSun" w:hAnsi="SimSun"/>
          <w:color w:val="000000"/>
        </w:rPr>
        <w:t>终产物为</w:t>
      </w:r>
      <w:r>
        <w:rPr>
          <w:color w:val="000000"/>
        </w:rPr>
        <w:t>___________</w:t>
      </w:r>
      <w:r>
        <w:rPr>
          <w:rFonts w:ascii="SimSun" w:hAnsi="SimSun"/>
          <w:color w:val="000000"/>
        </w:rPr>
        <w:t>，该物质由肠腔经过以下部位形成餐后血糖，请将这些部位按正确路径排序：</w:t>
      </w:r>
      <w:r>
        <w:rPr>
          <w:color w:val="000000"/>
        </w:rPr>
        <w:t>___________</w:t>
      </w:r>
      <w:r>
        <w:rPr>
          <w:rFonts w:ascii="SimSun" w:hAnsi="SimSun"/>
          <w:color w:val="000000"/>
        </w:rPr>
        <w:t>（填字母）。</w:t>
      </w:r>
      <w:r w:rsidR="00AB4A91">
        <w:rPr>
          <w:noProof/>
        </w:rPr>
      </w:r>
      <w:r w:rsidR="00AB4A91">
        <w:rPr>
          <w:noProof/>
        </w:rPr>
        <w:pict>
          <v:shape id="_x0000_i111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eastAsia="Times New Roman" w:cs="Times New Roman"/>
          <w:color w:val="000000"/>
        </w:rPr>
        <w:t>a</w:t>
      </w:r>
      <w:r>
        <w:rPr>
          <w:rFonts w:ascii="SimSun" w:hAnsi="SimSun"/>
          <w:color w:val="000000"/>
        </w:rPr>
        <w:t>．组织液</w:t>
      </w:r>
      <w:r>
        <w:rPr>
          <w:rFonts w:eastAsia="Times New Roman" w:cs="Times New Roman"/>
          <w:color w:val="000000"/>
        </w:rPr>
        <w:t>b</w:t>
      </w:r>
      <w:r>
        <w:rPr>
          <w:rFonts w:ascii="SimSun" w:hAnsi="SimSun"/>
          <w:color w:val="000000"/>
        </w:rPr>
        <w:t>．血浆</w:t>
      </w:r>
      <w:r>
        <w:rPr>
          <w:rFonts w:eastAsia="Times New Roman" w:cs="Times New Roman"/>
          <w:color w:val="000000"/>
        </w:rPr>
        <w:t>c</w:t>
      </w:r>
      <w:r>
        <w:rPr>
          <w:rFonts w:ascii="SimSun" w:hAnsi="SimSun"/>
          <w:color w:val="000000"/>
        </w:rPr>
        <w:t>．小肠上皮细胞</w:t>
      </w:r>
      <w:r>
        <w:rPr>
          <w:rFonts w:eastAsia="Times New Roman" w:cs="Times New Roman"/>
          <w:color w:val="000000"/>
        </w:rPr>
        <w:t>d</w:t>
      </w:r>
      <w:r>
        <w:rPr>
          <w:rFonts w:ascii="SimSun" w:hAnsi="SimSun"/>
          <w:color w:val="000000"/>
        </w:rPr>
        <w:t>．毛细血管壁细胞</w:t>
      </w:r>
      <w:r w:rsidR="00AB4A91">
        <w:rPr>
          <w:noProof/>
        </w:rPr>
      </w:r>
      <w:r w:rsidR="00AB4A91">
        <w:rPr>
          <w:noProof/>
        </w:rPr>
        <w:pict>
          <v:shape id="_x0000_i1115"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血糖水平达到高峰后缓慢下降，是由于胰岛素促进了血糖合成糖原、</w:t>
      </w:r>
      <w:r>
        <w:rPr>
          <w:color w:val="000000"/>
        </w:rPr>
        <w:t>___________</w:t>
      </w:r>
      <w:r>
        <w:rPr>
          <w:rFonts w:ascii="SimSun" w:hAnsi="SimSun"/>
          <w:color w:val="000000"/>
        </w:rPr>
        <w:t>、转化为脂肪和某些氨基酸等。</w:t>
      </w:r>
      <w:r w:rsidR="00AB4A91">
        <w:rPr>
          <w:noProof/>
        </w:rPr>
      </w:r>
      <w:r w:rsidR="00AB4A91">
        <w:rPr>
          <w:noProof/>
        </w:rPr>
        <w:pict>
          <v:shape id="_x0000_i111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w:t>
      </w:r>
      <w:r>
        <w:rPr>
          <w:color w:val="000000"/>
        </w:rPr>
        <w:t>2</w:t>
      </w:r>
      <w:r>
        <w:rPr>
          <w:color w:val="000000"/>
        </w:rPr>
        <w:t>）</w:t>
      </w:r>
      <w:r>
        <w:rPr>
          <w:rFonts w:ascii="SimSun" w:hAnsi="SimSun"/>
          <w:color w:val="000000"/>
        </w:rPr>
        <w:t>本实验以</w:t>
      </w:r>
      <w:r>
        <w:rPr>
          <w:color w:val="000000"/>
        </w:rPr>
        <w:t>___________</w:t>
      </w:r>
      <w:r>
        <w:rPr>
          <w:rFonts w:ascii="SimSun" w:hAnsi="SimSun"/>
          <w:color w:val="000000"/>
        </w:rPr>
        <w:t>作对照组，确认实验材料和方法等能有效检测药物疗效。</w:t>
      </w:r>
      <w:r w:rsidR="00AB4A91">
        <w:rPr>
          <w:noProof/>
        </w:rPr>
      </w:r>
      <w:r w:rsidR="00AB4A91">
        <w:rPr>
          <w:noProof/>
        </w:rPr>
        <w:pict>
          <v:shape id="_x0000_i111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w:t>
      </w:r>
      <w:r>
        <w:rPr>
          <w:color w:val="000000"/>
        </w:rPr>
        <w:t>3</w:t>
      </w:r>
      <w:r>
        <w:rPr>
          <w:color w:val="000000"/>
        </w:rPr>
        <w:t>）</w:t>
      </w:r>
      <w:r>
        <w:rPr>
          <w:rFonts w:ascii="SimSun" w:hAnsi="SimSun"/>
          <w:color w:val="000000"/>
        </w:rPr>
        <w:t>该研究的结论为：</w:t>
      </w:r>
      <w:r>
        <w:rPr>
          <w:rFonts w:eastAsia="Times New Roman" w:cs="Times New Roman"/>
          <w:color w:val="000000"/>
        </w:rPr>
        <w:t>NB</w:t>
      </w:r>
      <w:r>
        <w:rPr>
          <w:rFonts w:ascii="SimSun" w:hAnsi="SimSun"/>
          <w:color w:val="000000"/>
        </w:rPr>
        <w:t>和</w:t>
      </w:r>
      <w:r>
        <w:rPr>
          <w:rFonts w:eastAsia="Times New Roman" w:cs="Times New Roman"/>
          <w:color w:val="000000"/>
        </w:rPr>
        <w:t>CH</w:t>
      </w:r>
      <w:r>
        <w:rPr>
          <w:rFonts w:ascii="SimSun" w:hAnsi="SimSun"/>
          <w:color w:val="000000"/>
        </w:rPr>
        <w:t>均能有效降低餐后血糖高峰，且二者共同作用效果更强。下列对应表中</w:t>
      </w:r>
      <w:r>
        <w:rPr>
          <w:rFonts w:eastAsia="Times New Roman" w:cs="Times New Roman"/>
          <w:color w:val="000000"/>
        </w:rPr>
        <w:t>x</w:t>
      </w:r>
      <w:r>
        <w:rPr>
          <w:rFonts w:eastAsia="Times New Roman" w:cs="Times New Roman"/>
          <w:color w:val="000000"/>
          <w:vertAlign w:val="subscript"/>
        </w:rPr>
        <w:t>1</w:t>
      </w:r>
      <w:r>
        <w:rPr>
          <w:rFonts w:ascii="SimSun" w:hAnsi="SimSun"/>
          <w:color w:val="000000"/>
        </w:rPr>
        <w:t>、</w:t>
      </w:r>
      <w:r>
        <w:rPr>
          <w:rFonts w:eastAsia="Times New Roman" w:cs="Times New Roman"/>
          <w:color w:val="000000"/>
        </w:rPr>
        <w:t>x</w:t>
      </w:r>
      <w:r>
        <w:rPr>
          <w:rFonts w:eastAsia="Times New Roman" w:cs="Times New Roman"/>
          <w:color w:val="000000"/>
          <w:vertAlign w:val="subscript"/>
        </w:rPr>
        <w:t>2</w:t>
      </w:r>
      <w:r>
        <w:rPr>
          <w:rFonts w:ascii="SimSun" w:hAnsi="SimSun"/>
          <w:color w:val="000000"/>
        </w:rPr>
        <w:t>、</w:t>
      </w:r>
      <w:r>
        <w:rPr>
          <w:rFonts w:eastAsia="Times New Roman" w:cs="Times New Roman"/>
          <w:color w:val="000000"/>
        </w:rPr>
        <w:t>x</w:t>
      </w:r>
      <w:r>
        <w:rPr>
          <w:rFonts w:eastAsia="Times New Roman" w:cs="Times New Roman"/>
          <w:color w:val="000000"/>
          <w:vertAlign w:val="subscript"/>
        </w:rPr>
        <w:t>3</w:t>
      </w:r>
      <w:r>
        <w:rPr>
          <w:rFonts w:ascii="SimSun" w:hAnsi="SimSun"/>
          <w:color w:val="000000"/>
        </w:rPr>
        <w:t>处的数据排列中符合上述结论的是</w:t>
      </w:r>
      <w:r>
        <w:rPr>
          <w:rFonts w:eastAsia="Times New Roman" w:cs="Times New Roman"/>
          <w:color w:val="000000"/>
        </w:rPr>
        <w:t>___________</w:t>
      </w:r>
      <w:r>
        <w:rPr>
          <w:rFonts w:ascii="SimSun" w:hAnsi="SimSun"/>
          <w:color w:val="000000"/>
        </w:rPr>
        <w:t>。</w:t>
      </w:r>
      <w:r w:rsidR="00AB4A91">
        <w:rPr>
          <w:noProof/>
        </w:rPr>
      </w:r>
      <w:r w:rsidR="00AB4A91">
        <w:rPr>
          <w:noProof/>
        </w:rPr>
        <w:pict>
          <v:shape id="_x0000_i1118"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eastAsia="Times New Roman" w:cs="Times New Roman"/>
          <w:color w:val="000000"/>
        </w:rPr>
      </w:pPr>
      <w:r>
        <w:rPr>
          <w:color w:val="000000"/>
        </w:rPr>
        <w:t xml:space="preserve">A. </w:t>
      </w:r>
      <w:r>
        <w:rPr>
          <w:rFonts w:eastAsia="Times New Roman" w:cs="Times New Roman"/>
          <w:color w:val="000000"/>
        </w:rPr>
        <w:t>7．15     7</w:t>
      </w:r>
      <w:r>
        <w:rPr>
          <w:rFonts w:ascii="SimSun" w:hAnsi="SimSun"/>
          <w:color w:val="000000"/>
        </w:rPr>
        <w:t>．</w:t>
      </w:r>
      <w:r>
        <w:rPr>
          <w:rFonts w:eastAsia="Times New Roman" w:cs="Times New Roman"/>
          <w:color w:val="000000"/>
        </w:rPr>
        <w:t>62      6</w:t>
      </w:r>
      <w:r>
        <w:rPr>
          <w:rFonts w:ascii="SimSun" w:hAnsi="SimSun"/>
          <w:color w:val="000000"/>
        </w:rPr>
        <w:t>．</w:t>
      </w:r>
      <w:r>
        <w:rPr>
          <w:rFonts w:eastAsia="Times New Roman" w:cs="Times New Roman"/>
          <w:color w:val="000000"/>
        </w:rPr>
        <w:t>37</w:t>
      </w:r>
      <w:r>
        <w:rPr>
          <w:color w:val="000000"/>
        </w:rPr>
        <w:tab/>
        <w:t xml:space="preserve">B. </w:t>
      </w:r>
      <w:r>
        <w:rPr>
          <w:rFonts w:eastAsia="Times New Roman" w:cs="Times New Roman"/>
          <w:color w:val="000000"/>
        </w:rPr>
        <w:t>7</w:t>
      </w:r>
      <w:r>
        <w:rPr>
          <w:rFonts w:ascii="SimSun" w:hAnsi="SimSun"/>
          <w:color w:val="000000"/>
        </w:rPr>
        <w:t>．</w:t>
      </w:r>
      <w:r>
        <w:rPr>
          <w:rFonts w:eastAsia="Times New Roman" w:cs="Times New Roman"/>
          <w:color w:val="000000"/>
        </w:rPr>
        <w:t>60     7</w:t>
      </w:r>
      <w:r>
        <w:rPr>
          <w:rFonts w:ascii="SimSun" w:hAnsi="SimSun"/>
          <w:color w:val="000000"/>
        </w:rPr>
        <w:t>．</w:t>
      </w:r>
      <w:r>
        <w:rPr>
          <w:rFonts w:eastAsia="Times New Roman" w:cs="Times New Roman"/>
          <w:color w:val="000000"/>
        </w:rPr>
        <w:t>28     6</w:t>
      </w:r>
      <w:r>
        <w:rPr>
          <w:rFonts w:ascii="SimSun" w:hAnsi="SimSun"/>
          <w:color w:val="000000"/>
        </w:rPr>
        <w:t>．</w:t>
      </w:r>
      <w:r>
        <w:rPr>
          <w:rFonts w:eastAsia="Times New Roman" w:cs="Times New Roman"/>
          <w:color w:val="000000"/>
        </w:rPr>
        <w:t>11</w:t>
      </w:r>
      <w:r w:rsidR="00AB4A91">
        <w:rPr>
          <w:noProof/>
        </w:rPr>
      </w:r>
      <w:r w:rsidR="00AB4A91">
        <w:rPr>
          <w:noProof/>
        </w:rPr>
        <w:pict>
          <v:shape id="_x0000_i1119"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eastAsia="Times New Roman" w:cs="Times New Roman"/>
          <w:color w:val="000000"/>
        </w:rPr>
      </w:pPr>
      <w:r>
        <w:rPr>
          <w:color w:val="000000"/>
        </w:rPr>
        <w:t xml:space="preserve">C. </w:t>
      </w:r>
      <w:r>
        <w:rPr>
          <w:rFonts w:eastAsia="Times New Roman" w:cs="Times New Roman"/>
          <w:color w:val="000000"/>
        </w:rPr>
        <w:t>7</w:t>
      </w:r>
      <w:r>
        <w:rPr>
          <w:rFonts w:ascii="SimSun" w:hAnsi="SimSun"/>
          <w:color w:val="000000"/>
        </w:rPr>
        <w:t>．</w:t>
      </w:r>
      <w:r>
        <w:rPr>
          <w:rFonts w:eastAsia="Times New Roman" w:cs="Times New Roman"/>
          <w:color w:val="000000"/>
        </w:rPr>
        <w:t>43      6</w:t>
      </w:r>
      <w:r>
        <w:rPr>
          <w:rFonts w:ascii="SimSun" w:hAnsi="SimSun"/>
          <w:color w:val="000000"/>
        </w:rPr>
        <w:t>．</w:t>
      </w:r>
      <w:r>
        <w:rPr>
          <w:rFonts w:eastAsia="Times New Roman" w:cs="Times New Roman"/>
          <w:color w:val="000000"/>
        </w:rPr>
        <w:t>26     7</w:t>
      </w:r>
      <w:r>
        <w:rPr>
          <w:rFonts w:ascii="SimSun" w:hAnsi="SimSun"/>
          <w:color w:val="000000"/>
        </w:rPr>
        <w:t>．</w:t>
      </w:r>
      <w:r>
        <w:rPr>
          <w:rFonts w:eastAsia="Times New Roman" w:cs="Times New Roman"/>
          <w:color w:val="000000"/>
        </w:rPr>
        <w:t>75</w:t>
      </w:r>
      <w:r>
        <w:rPr>
          <w:color w:val="000000"/>
        </w:rPr>
        <w:tab/>
        <w:t xml:space="preserve">D. </w:t>
      </w:r>
      <w:r>
        <w:rPr>
          <w:rFonts w:eastAsia="Times New Roman" w:cs="Times New Roman"/>
          <w:color w:val="000000"/>
        </w:rPr>
        <w:t>6</w:t>
      </w:r>
      <w:r>
        <w:rPr>
          <w:rFonts w:ascii="SimSun" w:hAnsi="SimSun"/>
          <w:color w:val="000000"/>
        </w:rPr>
        <w:t>．</w:t>
      </w:r>
      <w:r>
        <w:rPr>
          <w:rFonts w:eastAsia="Times New Roman" w:cs="Times New Roman"/>
          <w:color w:val="000000"/>
        </w:rPr>
        <w:t>08     7</w:t>
      </w:r>
      <w:r>
        <w:rPr>
          <w:rFonts w:ascii="SimSun" w:hAnsi="SimSun"/>
          <w:color w:val="000000"/>
        </w:rPr>
        <w:t>．</w:t>
      </w:r>
      <w:r>
        <w:rPr>
          <w:rFonts w:eastAsia="Times New Roman" w:cs="Times New Roman"/>
          <w:color w:val="000000"/>
        </w:rPr>
        <w:t>02     7</w:t>
      </w:r>
      <w:r>
        <w:rPr>
          <w:rFonts w:ascii="SimSun" w:hAnsi="SimSun"/>
          <w:color w:val="000000"/>
        </w:rPr>
        <w:t>．</w:t>
      </w:r>
      <w:r>
        <w:rPr>
          <w:rFonts w:eastAsia="Times New Roman" w:cs="Times New Roman"/>
          <w:color w:val="000000"/>
        </w:rPr>
        <w:t>54</w:t>
      </w:r>
      <w:r w:rsidR="00AB4A91">
        <w:rPr>
          <w:noProof/>
        </w:rPr>
      </w:r>
      <w:r w:rsidR="00AB4A91">
        <w:rPr>
          <w:noProof/>
        </w:rPr>
        <w:pict>
          <v:shape id="_x0000_i1120"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15. </w:t>
      </w:r>
      <w:r>
        <w:rPr>
          <w:rFonts w:eastAsia="Times New Roman" w:cs="Times New Roman"/>
          <w:color w:val="000000"/>
        </w:rPr>
        <w:t>Rubisco</w:t>
      </w:r>
      <w:r>
        <w:rPr>
          <w:rFonts w:ascii="SimSun" w:hAnsi="SimSun"/>
          <w:color w:val="000000"/>
        </w:rPr>
        <w:t>是光合作用过程中催化</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固定的酶。但其也能催化</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与</w:t>
      </w:r>
      <w:r>
        <w:rPr>
          <w:rFonts w:eastAsia="Times New Roman" w:cs="Times New Roman"/>
          <w:color w:val="000000"/>
        </w:rPr>
        <w:t>C</w:t>
      </w:r>
      <w:r>
        <w:rPr>
          <w:rFonts w:eastAsia="Times New Roman" w:cs="Times New Roman"/>
          <w:color w:val="000000"/>
          <w:vertAlign w:val="subscript"/>
        </w:rPr>
        <w:t>5</w:t>
      </w:r>
      <w:r>
        <w:rPr>
          <w:rFonts w:ascii="SimSun" w:hAnsi="SimSun"/>
          <w:color w:val="000000"/>
        </w:rPr>
        <w:t>结合，形成</w:t>
      </w:r>
      <w:r>
        <w:rPr>
          <w:rFonts w:eastAsia="Times New Roman" w:cs="Times New Roman"/>
          <w:color w:val="000000"/>
        </w:rPr>
        <w:t>C</w:t>
      </w:r>
      <w:r>
        <w:rPr>
          <w:rFonts w:eastAsia="Times New Roman" w:cs="Times New Roman"/>
          <w:color w:val="000000"/>
          <w:vertAlign w:val="subscript"/>
        </w:rPr>
        <w:t>3</w:t>
      </w:r>
      <w:r>
        <w:rPr>
          <w:rFonts w:ascii="SimSun" w:hAnsi="SimSun"/>
          <w:color w:val="000000"/>
        </w:rPr>
        <w:t>和</w:t>
      </w:r>
      <w:r>
        <w:rPr>
          <w:rFonts w:eastAsia="Times New Roman" w:cs="Times New Roman"/>
          <w:color w:val="000000"/>
        </w:rPr>
        <w:t>C</w:t>
      </w:r>
      <w:r>
        <w:rPr>
          <w:rFonts w:eastAsia="Times New Roman" w:cs="Times New Roman"/>
          <w:color w:val="000000"/>
          <w:vertAlign w:val="subscript"/>
        </w:rPr>
        <w:t>2</w:t>
      </w:r>
      <w:r>
        <w:rPr>
          <w:rFonts w:ascii="SimSun" w:hAnsi="SimSun"/>
          <w:color w:val="000000"/>
        </w:rPr>
        <w:t>，导致光合效率下降。</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与</w:t>
      </w:r>
      <w:r>
        <w:rPr>
          <w:rFonts w:eastAsia="Times New Roman" w:cs="Times New Roman"/>
          <w:color w:val="000000"/>
        </w:rPr>
        <w:t>O</w:t>
      </w:r>
      <w:r>
        <w:rPr>
          <w:rFonts w:eastAsia="Times New Roman" w:cs="Times New Roman"/>
          <w:color w:val="000000"/>
          <w:vertAlign w:val="subscript"/>
        </w:rPr>
        <w:t>2</w:t>
      </w:r>
      <w:r>
        <w:rPr>
          <w:rFonts w:ascii="SimSun" w:hAnsi="SimSun"/>
          <w:color w:val="000000"/>
        </w:rPr>
        <w:t>竞争性结合</w:t>
      </w:r>
      <w:r>
        <w:rPr>
          <w:rFonts w:eastAsia="Times New Roman" w:cs="Times New Roman"/>
          <w:color w:val="000000"/>
        </w:rPr>
        <w:t>Rubisco</w:t>
      </w:r>
      <w:r>
        <w:rPr>
          <w:rFonts w:ascii="SimSun" w:hAnsi="SimSun"/>
          <w:color w:val="000000"/>
        </w:rPr>
        <w:t>的同一活性位点，因此提高</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浓度可以提高光合效率。</w:t>
      </w:r>
      <w:r w:rsidR="00AB4A91">
        <w:rPr>
          <w:noProof/>
        </w:rPr>
      </w:r>
      <w:r w:rsidR="00AB4A91">
        <w:rPr>
          <w:noProof/>
        </w:rPr>
        <w:pict>
          <v:shape id="_x0000_i1121"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eastAsia="Times New Roman" w:cs="Times New Roman"/>
          <w:color w:val="000000"/>
        </w:rPr>
        <w:t>（1）</w:t>
      </w:r>
      <w:r>
        <w:rPr>
          <w:rFonts w:ascii="SimSun" w:hAnsi="SimSun"/>
          <w:color w:val="000000"/>
        </w:rPr>
        <w:t>蓝细菌具有</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浓缩机制，如下图所示。</w:t>
      </w:r>
      <w:r w:rsidR="00AB4A91">
        <w:rPr>
          <w:noProof/>
        </w:rPr>
      </w:r>
      <w:r w:rsidR="00AB4A91">
        <w:rPr>
          <w:noProof/>
        </w:rPr>
        <w:pict>
          <v:shape id="_x0000_i1122"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eastAsia="Times New Roman" w:cs="Times New Roman"/>
          <w:noProof/>
          <w:color w:val="000000"/>
        </w:rPr>
      </w:r>
      <w:r w:rsidR="00AB4A91">
        <w:rPr>
          <w:rFonts w:eastAsia="Times New Roman" w:cs="Times New Roman"/>
          <w:noProof/>
          <w:color w:val="000000"/>
        </w:rPr>
        <w:pict>
          <v:shape id="_x0000_i1123" type="#_x0000_t75" alt="" style="width:373.9pt;height:98.9pt;mso-width-percent:0;mso-height-percent:0;mso-width-percent:0;mso-height-percent:0">
            <v:imagedata r:id="rId25" o:title=""/>
          </v:shape>
        </w:pict>
      </w:r>
      <w:r>
        <w:rPr>
          <w:noProof/>
        </w:rPr>
      </w:r>
      <w:r w:rsidR="00AB4A91">
        <w:rPr>
          <w:noProof/>
        </w:rPr>
        <w:pict>
          <v:shape id="_x0000_i112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注：羧化体具有蛋白质外壳，可限制气体扩散</w:t>
      </w:r>
      <w:r w:rsidR="00AB4A91">
        <w:rPr>
          <w:noProof/>
        </w:rPr>
      </w:r>
      <w:r w:rsidR="00AB4A91">
        <w:rPr>
          <w:noProof/>
        </w:rPr>
        <w:pict>
          <v:shape id="_x0000_i1125"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据图分析，</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依次以</w:t>
      </w:r>
      <w:r>
        <w:rPr>
          <w:rFonts w:eastAsia="Times New Roman" w:cs="Times New Roman"/>
          <w:color w:val="000000"/>
        </w:rPr>
        <w:t>___________</w:t>
      </w:r>
      <w:r>
        <w:rPr>
          <w:rFonts w:ascii="SimSun" w:hAnsi="SimSun"/>
          <w:color w:val="000000"/>
        </w:rPr>
        <w:t>和</w:t>
      </w:r>
      <w:r>
        <w:rPr>
          <w:rFonts w:eastAsia="Times New Roman" w:cs="Times New Roman"/>
          <w:color w:val="000000"/>
        </w:rPr>
        <w:t>___________</w:t>
      </w:r>
      <w:r>
        <w:rPr>
          <w:rFonts w:ascii="SimSun" w:hAnsi="SimSun"/>
          <w:color w:val="000000"/>
        </w:rPr>
        <w:t>方式通过细胞膜和光合片层膜。蓝细菌的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浓缩机制可提高羧化体中</w:t>
      </w:r>
      <w:r>
        <w:rPr>
          <w:rFonts w:eastAsia="Times New Roman" w:cs="Times New Roman"/>
          <w:color w:val="000000"/>
        </w:rPr>
        <w:t>Rubisco</w:t>
      </w:r>
      <w:r>
        <w:rPr>
          <w:rFonts w:ascii="SimSun" w:hAnsi="SimSun"/>
          <w:color w:val="000000"/>
        </w:rPr>
        <w:t>周围的</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浓度，从而通过促进</w:t>
      </w:r>
      <w:r>
        <w:rPr>
          <w:rFonts w:eastAsia="Times New Roman" w:cs="Times New Roman"/>
          <w:color w:val="000000"/>
        </w:rPr>
        <w:t>___________</w:t>
      </w:r>
      <w:r>
        <w:rPr>
          <w:rFonts w:ascii="SimSun" w:hAnsi="SimSun"/>
          <w:color w:val="000000"/>
        </w:rPr>
        <w:t>和抑制</w:t>
      </w:r>
      <w:r>
        <w:rPr>
          <w:rFonts w:eastAsia="Times New Roman" w:cs="Times New Roman"/>
          <w:color w:val="000000"/>
        </w:rPr>
        <w:t>___________</w:t>
      </w:r>
      <w:r>
        <w:rPr>
          <w:rFonts w:ascii="SimSun" w:hAnsi="SimSun"/>
          <w:color w:val="000000"/>
        </w:rPr>
        <w:t>提高光合效率。</w:t>
      </w:r>
      <w:r w:rsidR="00AB4A91">
        <w:rPr>
          <w:noProof/>
        </w:rPr>
      </w:r>
      <w:r w:rsidR="00AB4A91">
        <w:rPr>
          <w:noProof/>
        </w:rPr>
        <w:pict>
          <v:shape id="_x0000_i112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eastAsia="Times New Roman" w:cs="Times New Roman"/>
          <w:color w:val="000000"/>
        </w:rPr>
        <w:t>（2）</w:t>
      </w:r>
      <w:r>
        <w:rPr>
          <w:rFonts w:ascii="SimSun" w:hAnsi="SimSun"/>
          <w:color w:val="000000"/>
        </w:rPr>
        <w:t>向烟草内转入蓝细菌</w:t>
      </w:r>
      <w:r>
        <w:rPr>
          <w:rFonts w:eastAsia="Times New Roman" w:cs="Times New Roman"/>
          <w:color w:val="000000"/>
        </w:rPr>
        <w:t>Rubisco</w:t>
      </w:r>
      <w:r>
        <w:rPr>
          <w:rFonts w:ascii="SimSun" w:hAnsi="SimSun"/>
          <w:color w:val="000000"/>
        </w:rPr>
        <w:t>的编码基因和羧化体外壳蛋白的编码基因。若蓝细菌羧化体可在烟草中发挥作用并参与暗反应，应能利用电子显微镜在转基因烟草细胞的</w:t>
      </w:r>
      <w:r>
        <w:rPr>
          <w:rFonts w:eastAsia="Times New Roman" w:cs="Times New Roman"/>
          <w:color w:val="000000"/>
        </w:rPr>
        <w:t>___________</w:t>
      </w:r>
      <w:r>
        <w:rPr>
          <w:rFonts w:ascii="SimSun" w:hAnsi="SimSun"/>
          <w:color w:val="000000"/>
        </w:rPr>
        <w:t>中观察到羧化体。</w:t>
      </w:r>
      <w:r w:rsidR="00AB4A91">
        <w:rPr>
          <w:noProof/>
        </w:rPr>
      </w:r>
      <w:r w:rsidR="00AB4A91">
        <w:rPr>
          <w:noProof/>
        </w:rPr>
        <w:pict>
          <v:shape id="_x0000_i112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eastAsia="Times New Roman" w:cs="Times New Roman"/>
          <w:color w:val="000000"/>
        </w:rPr>
        <w:t>（3）</w:t>
      </w:r>
      <w:r>
        <w:rPr>
          <w:rFonts w:ascii="SimSun" w:hAnsi="SimSun"/>
          <w:color w:val="000000"/>
        </w:rPr>
        <w:t>研究发现，转基因烟草的光合速率并未提高。若再转入</w:t>
      </w:r>
      <w:r>
        <w:rPr>
          <w:rFonts w:eastAsia="Times New Roman" w:cs="Times New Roman"/>
          <w:color w:val="000000"/>
        </w:rPr>
        <w:t>HCO</w:t>
      </w:r>
      <w:r>
        <w:rPr>
          <w:rFonts w:eastAsia="Times New Roman" w:cs="Times New Roman"/>
          <w:color w:val="000000"/>
          <w:vertAlign w:val="subscript"/>
        </w:rPr>
        <w:t>3</w:t>
      </w:r>
      <w:r>
        <w:rPr>
          <w:rFonts w:eastAsia="Times New Roman" w:cs="Times New Roman"/>
          <w:color w:val="000000"/>
          <w:vertAlign w:val="superscript"/>
        </w:rPr>
        <w:t>-</w:t>
      </w:r>
      <w:r>
        <w:rPr>
          <w:rFonts w:ascii="SimSun" w:hAnsi="SimSun"/>
          <w:color w:val="000000"/>
        </w:rPr>
        <w:t>和</w:t>
      </w:r>
      <w:r>
        <w:rPr>
          <w:rFonts w:eastAsia="Times New Roman" w:cs="Times New Roman"/>
          <w:color w:val="000000"/>
        </w:rPr>
        <w:t>CO</w:t>
      </w:r>
      <w:r>
        <w:rPr>
          <w:rFonts w:eastAsia="Times New Roman" w:cs="Times New Roman"/>
          <w:color w:val="000000"/>
          <w:vertAlign w:val="subscript"/>
        </w:rPr>
        <w:t>2</w:t>
      </w:r>
      <w:r>
        <w:rPr>
          <w:rFonts w:ascii="SimSun" w:hAnsi="SimSun"/>
          <w:color w:val="000000"/>
        </w:rPr>
        <w:t>转运蛋白基因并成功表达和发挥作用，理论上该转基因植株暗反应水平应</w:t>
      </w:r>
      <w:r>
        <w:rPr>
          <w:rFonts w:eastAsia="Times New Roman" w:cs="Times New Roman"/>
          <w:color w:val="000000"/>
        </w:rPr>
        <w:t>___________</w:t>
      </w:r>
      <w:r>
        <w:rPr>
          <w:rFonts w:ascii="SimSun" w:hAnsi="SimSun"/>
          <w:color w:val="000000"/>
        </w:rPr>
        <w:t>，光反应水平应</w:t>
      </w:r>
      <w:r>
        <w:rPr>
          <w:rFonts w:eastAsia="Times New Roman" w:cs="Times New Roman"/>
          <w:color w:val="000000"/>
        </w:rPr>
        <w:t>___________</w:t>
      </w:r>
      <w:r>
        <w:rPr>
          <w:rFonts w:ascii="SimSun" w:hAnsi="SimSun"/>
          <w:color w:val="000000"/>
        </w:rPr>
        <w:t>，从而提高光合速率。</w:t>
      </w:r>
      <w:r w:rsidR="00AB4A91">
        <w:rPr>
          <w:noProof/>
        </w:rPr>
      </w:r>
      <w:r w:rsidR="00AB4A91">
        <w:rPr>
          <w:noProof/>
        </w:rPr>
        <w:pict>
          <v:shape id="_x0000_i1128"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16. </w:t>
      </w:r>
      <w:r>
        <w:rPr>
          <w:rFonts w:ascii="SimSun" w:hAnsi="SimSun"/>
          <w:color w:val="000000"/>
        </w:rPr>
        <w:t>乳酸菌是乳酸</w:t>
      </w:r>
      <w:r w:rsidR="00AB4A91">
        <w:rPr>
          <w:rFonts w:ascii="SimSun" w:hAnsi="SimSun"/>
          <w:noProof/>
          <w:color w:val="000000"/>
        </w:rPr>
      </w:r>
      <w:r w:rsidR="00AB4A91">
        <w:rPr>
          <w:rFonts w:ascii="SimSun" w:hAnsi="SimSun"/>
          <w:noProof/>
          <w:color w:val="000000"/>
        </w:rPr>
        <w:pict>
          <v:shape id="_x0000_i1129" type="#_x0000_t75" alt="" style="width:10.4pt;height:13.9pt;mso-width-percent:0;mso-height-percent:0;mso-position-vertical:bottom;mso-width-percent:0;mso-height-percent:0">
            <v:imagedata r:id="rId22" o:title=""/>
          </v:shape>
        </w:pict>
      </w:r>
      <w:r>
        <w:rPr>
          <w:rFonts w:ascii="SimSun" w:hAnsi="SimSun"/>
          <w:color w:val="000000"/>
        </w:rPr>
        <w:t>传统生产菌，但耐酸能力较差，影响产量。酿酒酵母耐酸能力较强，但不产生乳酸。研究者将乳酸菌的乳酸脱氢酶基因（</w:t>
      </w:r>
      <w:r>
        <w:rPr>
          <w:rFonts w:eastAsia="Times New Roman" w:cs="Times New Roman"/>
          <w:color w:val="000000"/>
        </w:rPr>
        <w:t>LDH</w:t>
      </w:r>
      <w:r>
        <w:rPr>
          <w:rFonts w:ascii="SimSun" w:hAnsi="SimSun"/>
          <w:color w:val="000000"/>
        </w:rPr>
        <w:t>）导入酿酒酵母，获得能产生乳酸的工程菌株。下图</w:t>
      </w:r>
      <w:r>
        <w:rPr>
          <w:rFonts w:eastAsia="Times New Roman" w:cs="Times New Roman"/>
          <w:color w:val="000000"/>
        </w:rPr>
        <w:t>1</w:t>
      </w:r>
      <w:r>
        <w:rPr>
          <w:rFonts w:ascii="SimSun" w:hAnsi="SimSun"/>
          <w:color w:val="000000"/>
        </w:rPr>
        <w:t>为乳酸和乙醇发酵途径示意图，图</w:t>
      </w:r>
      <w:r>
        <w:rPr>
          <w:rFonts w:eastAsia="Times New Roman" w:cs="Times New Roman"/>
          <w:color w:val="000000"/>
        </w:rPr>
        <w:t>2</w:t>
      </w:r>
      <w:r>
        <w:rPr>
          <w:rFonts w:ascii="SimSun" w:hAnsi="SimSun"/>
          <w:color w:val="000000"/>
        </w:rPr>
        <w:t>为构建表达载体时所需的关键条件。</w:t>
      </w:r>
      <w:r w:rsidR="00AB4A91">
        <w:rPr>
          <w:noProof/>
        </w:rPr>
      </w:r>
      <w:r w:rsidR="00AB4A91">
        <w:rPr>
          <w:noProof/>
        </w:rPr>
        <w:pict>
          <v:shape id="_x0000_i1130"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ascii="SimSun" w:hAnsi="SimSun"/>
          <w:noProof/>
          <w:color w:val="000000"/>
        </w:rPr>
      </w:r>
      <w:r w:rsidR="00AB4A91">
        <w:rPr>
          <w:rFonts w:ascii="SimSun" w:hAnsi="SimSun"/>
          <w:noProof/>
          <w:color w:val="000000"/>
        </w:rPr>
        <w:pict>
          <v:shape id="_x0000_i1131" type="#_x0000_t75" alt="" style="width:390.35pt;height:193.45pt;mso-width-percent:0;mso-height-percent:0;mso-width-percent:0;mso-height-percent:0">
            <v:imagedata r:id="rId26" o:title=""/>
          </v:shape>
        </w:pict>
      </w:r>
      <w:r w:rsidR="00D02616">
        <w:rPr>
          <w:rFonts w:ascii="SimSun" w:hAnsi="SimSun"/>
          <w:color w:val="000000"/>
        </w:rPr>
        <w:br/>
      </w:r>
      <w:r>
        <w:rPr>
          <w:noProof/>
        </w:rPr>
      </w:r>
      <w:r w:rsidR="00AB4A91">
        <w:rPr>
          <w:noProof/>
        </w:rPr>
        <w:pict>
          <v:shape id="_x0000_i1132"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（1）乳酸脱氢酶在转基因酿酒酵母中参与厌氧发酵的场所应为___________。</w:t>
      </w:r>
      <w:r w:rsidR="00AB4A91">
        <w:rPr>
          <w:noProof/>
        </w:rPr>
      </w:r>
      <w:r w:rsidR="00AB4A91">
        <w:rPr>
          <w:noProof/>
        </w:rPr>
        <w:pict>
          <v:shape id="_x0000_i1133"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（2）获得转基因酿酒酵母菌株的过程如下：</w:t>
      </w:r>
      <w:r w:rsidR="00AB4A91">
        <w:rPr>
          <w:noProof/>
        </w:rPr>
      </w:r>
      <w:r w:rsidR="00AB4A91">
        <w:rPr>
          <w:noProof/>
        </w:rPr>
        <w:pict>
          <v:shape id="_x0000_i113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①设计引物扩增乳酸脱氢酶编码序列。</w:t>
      </w:r>
      <w:r w:rsidR="00AB4A91">
        <w:rPr>
          <w:noProof/>
        </w:rPr>
      </w:r>
      <w:r w:rsidR="00AB4A91">
        <w:rPr>
          <w:noProof/>
        </w:rPr>
        <w:pict>
          <v:shape id="_x0000_i1135"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为使扩增出的序列中编码起始密码子的序列由原核生物偏好的</w:t>
      </w:r>
      <w:r>
        <w:rPr>
          <w:rFonts w:eastAsia="Times New Roman" w:cs="Times New Roman"/>
          <w:color w:val="000000"/>
        </w:rPr>
        <w:t>GTG</w:t>
      </w:r>
      <w:r>
        <w:rPr>
          <w:rFonts w:ascii="SimSun" w:hAnsi="SimSun"/>
          <w:color w:val="000000"/>
        </w:rPr>
        <w:t>转变为真核生物偏好的</w:t>
      </w:r>
      <w:r>
        <w:rPr>
          <w:rFonts w:eastAsia="Times New Roman" w:cs="Times New Roman"/>
          <w:color w:val="000000"/>
        </w:rPr>
        <w:t>ATG</w:t>
      </w:r>
      <w:r>
        <w:rPr>
          <w:rFonts w:ascii="SimSun" w:hAnsi="SimSun"/>
          <w:color w:val="000000"/>
        </w:rPr>
        <w:t>，且能通过双酶切以正确方向插入质粒，需设计引物</w:t>
      </w:r>
      <w:r>
        <w:rPr>
          <w:rFonts w:eastAsia="Times New Roman" w:cs="Times New Roman"/>
          <w:color w:val="000000"/>
        </w:rPr>
        <w:t>1</w:t>
      </w:r>
      <w:r>
        <w:rPr>
          <w:rFonts w:ascii="SimSun" w:hAnsi="SimSun"/>
          <w:color w:val="000000"/>
        </w:rPr>
        <w:t>和</w:t>
      </w:r>
      <w:r>
        <w:rPr>
          <w:rFonts w:eastAsia="Times New Roman" w:cs="Times New Roman"/>
          <w:color w:val="000000"/>
        </w:rPr>
        <w:t>2</w:t>
      </w:r>
      <w:r>
        <w:rPr>
          <w:rFonts w:ascii="SimSun" w:hAnsi="SimSun"/>
          <w:color w:val="000000"/>
        </w:rPr>
        <w:t>。其中引物</w:t>
      </w:r>
      <w:r>
        <w:rPr>
          <w:rFonts w:eastAsia="Times New Roman" w:cs="Times New Roman"/>
          <w:color w:val="000000"/>
        </w:rPr>
        <w:t>1</w:t>
      </w:r>
      <w:r>
        <w:rPr>
          <w:rFonts w:ascii="SimSun" w:hAnsi="SimSun"/>
          <w:color w:val="000000"/>
        </w:rPr>
        <w:t>的</w:t>
      </w:r>
      <w:r>
        <w:rPr>
          <w:rFonts w:eastAsia="Times New Roman" w:cs="Times New Roman"/>
          <w:color w:val="000000"/>
        </w:rPr>
        <w:t>5</w:t>
      </w:r>
      <w:r>
        <w:rPr>
          <w:rFonts w:ascii="SimSun" w:hAnsi="SimSun"/>
          <w:color w:val="000000"/>
        </w:rPr>
        <w:t>′端序列应考虑___________和___________。</w:t>
      </w:r>
      <w:r w:rsidR="00AB4A91">
        <w:rPr>
          <w:noProof/>
        </w:rPr>
      </w:r>
      <w:r w:rsidR="00AB4A91">
        <w:rPr>
          <w:noProof/>
        </w:rPr>
        <w:pict>
          <v:shape id="_x0000_i113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②将上述</w:t>
      </w:r>
      <w:r>
        <w:rPr>
          <w:rFonts w:eastAsia="Times New Roman" w:cs="Times New Roman"/>
          <w:color w:val="000000"/>
        </w:rPr>
        <w:t>PCR</w:t>
      </w:r>
      <w:r>
        <w:rPr>
          <w:rFonts w:ascii="SimSun" w:hAnsi="SimSun"/>
          <w:color w:val="000000"/>
        </w:rPr>
        <w:t>产物和质粒重组后，导入大肠杆菌，筛选、鉴定，扩增重组质粒。重组质粒上有____________，所以能在大肠杆菌中扩增。启动子存在物种特异性，易被本物种的转录系统识别并启动转录，因此重组质粒上的乳酸脱氢酶编码序列___________（能</w:t>
      </w:r>
      <w:r>
        <w:rPr>
          <w:rFonts w:eastAsia="Times New Roman" w:cs="Times New Roman"/>
          <w:color w:val="000000"/>
        </w:rPr>
        <w:t>/</w:t>
      </w:r>
      <w:r>
        <w:rPr>
          <w:rFonts w:ascii="SimSun" w:hAnsi="SimSun"/>
          <w:color w:val="000000"/>
        </w:rPr>
        <w:t>不能）在大肠杆菌中高效表达。</w:t>
      </w:r>
      <w:r w:rsidR="00AB4A91">
        <w:rPr>
          <w:noProof/>
        </w:rPr>
      </w:r>
      <w:r w:rsidR="00AB4A91">
        <w:rPr>
          <w:noProof/>
        </w:rPr>
        <w:pict>
          <v:shape id="_x0000_i113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③提取重组质粒并转入不能合成尿嘧啶的酿酒酵母菌株，在___________的固体培养基上筛选出转基因酿酒酵母，并进行鉴定。</w:t>
      </w:r>
      <w:r w:rsidR="00AB4A91">
        <w:rPr>
          <w:noProof/>
        </w:rPr>
      </w:r>
      <w:r w:rsidR="00AB4A91">
        <w:rPr>
          <w:noProof/>
        </w:rPr>
        <w:pict>
          <v:shape id="_x0000_i1138"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（3）以葡萄糖为碳源，利用该转基因酿酒酵母进行厌氧发酵，结果既产生乳酸，也产生乙醇。若想进一步提高其乳酸产量，下列措施中不合理的是</w:t>
      </w:r>
      <w:r>
        <w:rPr>
          <w:rFonts w:eastAsia="Times New Roman" w:cs="Times New Roman"/>
          <w:color w:val="000000"/>
        </w:rPr>
        <w:t>___________</w:t>
      </w:r>
      <w:r>
        <w:rPr>
          <w:rFonts w:ascii="SimSun" w:hAnsi="SimSun"/>
          <w:color w:val="000000"/>
        </w:rPr>
        <w:t>（单选）。</w:t>
      </w:r>
      <w:r w:rsidR="00AB4A91">
        <w:rPr>
          <w:noProof/>
        </w:rPr>
      </w:r>
      <w:r w:rsidR="00AB4A91">
        <w:rPr>
          <w:noProof/>
        </w:rPr>
        <w:pict>
          <v:shape id="_x0000_i1139"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rFonts w:ascii="SimSun" w:hAnsi="SimSun"/>
          <w:color w:val="000000"/>
        </w:rPr>
        <w:t>A. 进一步优化发酵条件</w:t>
      </w:r>
      <w:r>
        <w:rPr>
          <w:rFonts w:ascii="SimSun" w:hAnsi="SimSun"/>
          <w:color w:val="000000"/>
        </w:rPr>
        <w:tab/>
        <w:t>B. 使用乳酸菌</w:t>
      </w:r>
      <w:r>
        <w:rPr>
          <w:rFonts w:eastAsia="Times New Roman" w:cs="Times New Roman"/>
          <w:color w:val="000000"/>
        </w:rPr>
        <w:t>LDH</w:t>
      </w:r>
      <w:r>
        <w:rPr>
          <w:rFonts w:ascii="SimSun" w:hAnsi="SimSun"/>
          <w:color w:val="000000"/>
        </w:rPr>
        <w:t>基因自身的启动子</w:t>
      </w:r>
      <w:r w:rsidR="00AB4A91">
        <w:rPr>
          <w:noProof/>
        </w:rPr>
      </w:r>
      <w:r w:rsidR="00AB4A91">
        <w:rPr>
          <w:noProof/>
        </w:rPr>
        <w:pict>
          <v:shape id="_x0000_i1140" type="#_x0000_t75" alt="学科网 zxxk.com" style="width:.85pt;height:.85pt;mso-width-percent:0;mso-height-percent:0;mso-width-percent:0;mso-height-percent:0">
            <v:imagedata r:id="rId8" o:title=""/>
          </v:shape>
        </w:pict>
      </w:r>
    </w:p>
    <w:p w:rsidR="00D02616" w:rsidRDefault="00D02616">
      <w:pPr>
        <w:tabs>
          <w:tab w:val="left" w:pos="4873"/>
        </w:tabs>
        <w:spacing w:line="360" w:lineRule="auto"/>
        <w:jc w:val="left"/>
        <w:textAlignment w:val="center"/>
        <w:rPr>
          <w:rFonts w:ascii="SimSun" w:hAnsi="SimSun"/>
          <w:color w:val="000000"/>
        </w:rPr>
      </w:pPr>
      <w:r>
        <w:rPr>
          <w:rFonts w:ascii="SimSun" w:hAnsi="SimSun"/>
          <w:color w:val="000000"/>
        </w:rPr>
        <w:t>C. 敲除酿酒酵母的丙酮酸脱羧酶基因</w:t>
      </w:r>
      <w:r>
        <w:rPr>
          <w:rFonts w:ascii="SimSun" w:hAnsi="SimSun"/>
          <w:color w:val="000000"/>
        </w:rPr>
        <w:tab/>
        <w:t>D. 对转基因酿酒酵母进行诱变育种</w:t>
      </w:r>
      <w:r w:rsidR="00AB4A91">
        <w:rPr>
          <w:noProof/>
        </w:rPr>
      </w:r>
      <w:r w:rsidR="00AB4A91">
        <w:rPr>
          <w:noProof/>
        </w:rPr>
        <w:pict>
          <v:shape id="_x0000_i1141"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color w:val="000000"/>
        </w:rPr>
        <w:t xml:space="preserve">17. </w:t>
      </w:r>
      <w:r>
        <w:rPr>
          <w:rFonts w:ascii="SimSun" w:hAnsi="SimSun"/>
          <w:color w:val="000000"/>
        </w:rPr>
        <w:t>黄瓜的花有雌花、雄花与两性花之分（雌花：仅雌蕊发育；雄花：仅雄蕊发育；两性花：雌雄蕊均发育）。位于非同源染色体上的</w:t>
      </w:r>
      <w:r>
        <w:rPr>
          <w:rFonts w:eastAsia="Times New Roman" w:cs="Times New Roman"/>
          <w:color w:val="000000"/>
        </w:rPr>
        <w:t>F</w:t>
      </w:r>
      <w:r>
        <w:rPr>
          <w:rFonts w:ascii="SimSun" w:hAnsi="SimSun"/>
          <w:color w:val="000000"/>
        </w:rPr>
        <w:t>和</w:t>
      </w:r>
      <w:r>
        <w:rPr>
          <w:rFonts w:eastAsia="Times New Roman" w:cs="Times New Roman"/>
          <w:color w:val="000000"/>
        </w:rPr>
        <w:t>M</w:t>
      </w:r>
      <w:r>
        <w:rPr>
          <w:rFonts w:ascii="SimSun" w:hAnsi="SimSun"/>
          <w:color w:val="000000"/>
        </w:rPr>
        <w:t>基因均是花芽分化过程中乙烯合成途径的关键基因，对黄瓜花的性别决定有重要作用。</w:t>
      </w:r>
      <w:r>
        <w:rPr>
          <w:rFonts w:eastAsia="Times New Roman" w:cs="Times New Roman"/>
          <w:color w:val="000000"/>
        </w:rPr>
        <w:t>F</w:t>
      </w:r>
      <w:r>
        <w:rPr>
          <w:rFonts w:ascii="SimSun" w:hAnsi="SimSun"/>
          <w:color w:val="000000"/>
        </w:rPr>
        <w:t>和</w:t>
      </w:r>
      <w:r>
        <w:rPr>
          <w:rFonts w:eastAsia="Times New Roman" w:cs="Times New Roman"/>
          <w:color w:val="000000"/>
        </w:rPr>
        <w:t>M</w:t>
      </w:r>
      <w:r>
        <w:rPr>
          <w:rFonts w:ascii="SimSun" w:hAnsi="SimSun"/>
          <w:color w:val="000000"/>
        </w:rPr>
        <w:t>基因的作用机制如图所示。</w:t>
      </w:r>
      <w:r w:rsidR="00AB4A91">
        <w:rPr>
          <w:noProof/>
        </w:rPr>
      </w:r>
      <w:r w:rsidR="00AB4A91">
        <w:rPr>
          <w:noProof/>
        </w:rPr>
        <w:pict>
          <v:shape id="_x0000_i1142"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ascii="SimSun" w:hAnsi="SimSun"/>
          <w:noProof/>
          <w:color w:val="000000"/>
        </w:rPr>
      </w:r>
      <w:r w:rsidR="00AB4A91">
        <w:rPr>
          <w:rFonts w:ascii="SimSun" w:hAnsi="SimSun"/>
          <w:noProof/>
          <w:color w:val="000000"/>
        </w:rPr>
        <w:pict>
          <v:shape id="_x0000_i1143" type="#_x0000_t75" alt="" style="width:271.5pt;height:65.05pt;mso-width-percent:0;mso-height-percent:0;mso-width-percent:0;mso-height-percent:0">
            <v:imagedata r:id="rId27" o:title=""/>
          </v:shape>
        </w:pict>
      </w:r>
      <w:r>
        <w:rPr>
          <w:noProof/>
        </w:rPr>
      </w:r>
      <w:r w:rsidR="00AB4A91">
        <w:rPr>
          <w:noProof/>
        </w:rPr>
        <w:pict>
          <v:shape id="_x0000_i1144"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w:t>
      </w:r>
      <w:r>
        <w:rPr>
          <w:rFonts w:eastAsia="Times New Roman" w:cs="Times New Roman"/>
          <w:color w:val="000000"/>
        </w:rPr>
        <w:t>+</w:t>
      </w:r>
      <w:r>
        <w:rPr>
          <w:rFonts w:ascii="SimSun" w:hAnsi="SimSun"/>
          <w:color w:val="000000"/>
        </w:rPr>
        <w:t>）促进（</w:t>
      </w:r>
      <w:r>
        <w:rPr>
          <w:rFonts w:eastAsia="Times New Roman" w:cs="Times New Roman"/>
          <w:color w:val="000000"/>
        </w:rPr>
        <w:t>-</w:t>
      </w:r>
      <w:r>
        <w:rPr>
          <w:rFonts w:ascii="SimSun" w:hAnsi="SimSun"/>
          <w:color w:val="000000"/>
        </w:rPr>
        <w:t>）抑制</w:t>
      </w:r>
      <w:r>
        <w:rPr>
          <w:rFonts w:eastAsia="Times New Roman" w:cs="Times New Roman"/>
          <w:color w:val="000000"/>
        </w:rPr>
        <w:t xml:space="preserve">   *</w:t>
      </w:r>
      <w:r>
        <w:rPr>
          <w:rFonts w:ascii="SimSun" w:hAnsi="SimSun"/>
          <w:color w:val="000000"/>
        </w:rPr>
        <w:t>未被乙烯抑制时雄蕊可正常发育</w:t>
      </w:r>
      <w:r w:rsidR="00AB4A91">
        <w:rPr>
          <w:noProof/>
        </w:rPr>
      </w:r>
      <w:r w:rsidR="00AB4A91">
        <w:rPr>
          <w:noProof/>
        </w:rPr>
        <w:pict>
          <v:shape id="_x0000_i1145"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（1）</w:t>
      </w:r>
      <w:r>
        <w:rPr>
          <w:rFonts w:eastAsia="Times New Roman" w:cs="Times New Roman"/>
          <w:color w:val="000000"/>
        </w:rPr>
        <w:t>M</w:t>
      </w:r>
      <w:r>
        <w:rPr>
          <w:rFonts w:ascii="SimSun" w:hAnsi="SimSun"/>
          <w:color w:val="000000"/>
        </w:rPr>
        <w:t>基因的表达与乙烯的产生之间存在__________（正</w:t>
      </w:r>
      <w:r>
        <w:rPr>
          <w:rFonts w:eastAsia="Times New Roman" w:cs="Times New Roman"/>
          <w:color w:val="000000"/>
        </w:rPr>
        <w:t>/</w:t>
      </w:r>
      <w:r>
        <w:rPr>
          <w:rFonts w:ascii="SimSun" w:hAnsi="SimSun"/>
          <w:color w:val="000000"/>
        </w:rPr>
        <w:t>负）反馈，造成乙烯持续积累，进而抑制雄蕊发育。</w:t>
      </w:r>
      <w:r w:rsidR="00AB4A91">
        <w:rPr>
          <w:noProof/>
        </w:rPr>
      </w:r>
      <w:r w:rsidR="00AB4A91">
        <w:rPr>
          <w:noProof/>
        </w:rPr>
        <w:pict>
          <v:shape id="_x0000_i1146"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（2）依据</w:t>
      </w:r>
      <w:r>
        <w:rPr>
          <w:rFonts w:eastAsia="Times New Roman" w:cs="Times New Roman"/>
          <w:color w:val="000000"/>
        </w:rPr>
        <w:t>F</w:t>
      </w:r>
      <w:r>
        <w:rPr>
          <w:rFonts w:ascii="SimSun" w:hAnsi="SimSun"/>
          <w:color w:val="000000"/>
        </w:rPr>
        <w:t>和</w:t>
      </w:r>
      <w:r>
        <w:rPr>
          <w:rFonts w:eastAsia="Times New Roman" w:cs="Times New Roman"/>
          <w:color w:val="000000"/>
        </w:rPr>
        <w:t>M</w:t>
      </w:r>
      <w:r>
        <w:rPr>
          <w:rFonts w:ascii="SimSun" w:hAnsi="SimSun"/>
          <w:color w:val="000000"/>
        </w:rPr>
        <w:t>基因的作用机制推断，</w:t>
      </w:r>
      <w:r>
        <w:rPr>
          <w:rFonts w:eastAsia="Times New Roman" w:cs="Times New Roman"/>
          <w:color w:val="000000"/>
        </w:rPr>
        <w:t>FFMM</w:t>
      </w:r>
      <w:r>
        <w:rPr>
          <w:rFonts w:ascii="SimSun" w:hAnsi="SimSun"/>
          <w:color w:val="000000"/>
        </w:rPr>
        <w:t>基因型的黄瓜植株开雌花，</w:t>
      </w:r>
      <w:r>
        <w:rPr>
          <w:rFonts w:eastAsia="Times New Roman" w:cs="Times New Roman"/>
          <w:color w:val="000000"/>
        </w:rPr>
        <w:t>FFmm</w:t>
      </w:r>
      <w:r>
        <w:rPr>
          <w:rFonts w:ascii="SimSun" w:hAnsi="SimSun"/>
          <w:color w:val="000000"/>
        </w:rPr>
        <w:t>基因型的黄瓜植株开__________花。当对</w:t>
      </w:r>
      <w:r>
        <w:rPr>
          <w:rFonts w:eastAsia="Times New Roman" w:cs="Times New Roman"/>
          <w:color w:val="000000"/>
        </w:rPr>
        <w:t>FFmm</w:t>
      </w:r>
      <w:r>
        <w:rPr>
          <w:rFonts w:ascii="SimSun" w:hAnsi="SimSun"/>
          <w:color w:val="000000"/>
        </w:rPr>
        <w:t>基因型的黄瓜植株外源施加__________（乙烯抑制剂</w:t>
      </w:r>
      <w:r>
        <w:rPr>
          <w:rFonts w:eastAsia="Times New Roman" w:cs="Times New Roman"/>
          <w:color w:val="000000"/>
        </w:rPr>
        <w:t>/</w:t>
      </w:r>
      <w:r>
        <w:rPr>
          <w:rFonts w:ascii="SimSun" w:hAnsi="SimSun"/>
          <w:color w:val="000000"/>
        </w:rPr>
        <w:t>乙烯利）时，出现雌花。</w:t>
      </w:r>
      <w:r w:rsidR="00AB4A91">
        <w:rPr>
          <w:noProof/>
        </w:rPr>
      </w:r>
      <w:r w:rsidR="00AB4A91">
        <w:rPr>
          <w:noProof/>
        </w:rPr>
        <w:pict>
          <v:shape id="_x0000_i1147"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（3）现有</w:t>
      </w:r>
      <w:r>
        <w:rPr>
          <w:rFonts w:eastAsia="Times New Roman" w:cs="Times New Roman"/>
          <w:color w:val="000000"/>
        </w:rPr>
        <w:t>FFMM</w:t>
      </w:r>
      <w:r>
        <w:rPr>
          <w:rFonts w:ascii="SimSun" w:hAnsi="SimSun"/>
          <w:color w:val="000000"/>
        </w:rPr>
        <w:t>、</w:t>
      </w:r>
      <w:r>
        <w:rPr>
          <w:rFonts w:eastAsia="Times New Roman" w:cs="Times New Roman"/>
          <w:color w:val="000000"/>
        </w:rPr>
        <w:t>ffMM</w:t>
      </w:r>
      <w:r>
        <w:rPr>
          <w:rFonts w:ascii="SimSun" w:hAnsi="SimSun"/>
          <w:color w:val="000000"/>
        </w:rPr>
        <w:t>和</w:t>
      </w:r>
      <w:r>
        <w:rPr>
          <w:rFonts w:eastAsia="Times New Roman" w:cs="Times New Roman"/>
          <w:color w:val="000000"/>
        </w:rPr>
        <w:t>FFmm</w:t>
      </w:r>
      <w:r>
        <w:rPr>
          <w:rFonts w:ascii="SimSun" w:hAnsi="SimSun"/>
          <w:color w:val="000000"/>
        </w:rPr>
        <w:t>三种基因型的亲本，若要获得基因型为</w:t>
      </w:r>
      <w:r>
        <w:rPr>
          <w:rFonts w:eastAsia="Times New Roman" w:cs="Times New Roman"/>
          <w:color w:val="000000"/>
        </w:rPr>
        <w:t>ffmm</w:t>
      </w:r>
      <w:r>
        <w:rPr>
          <w:rFonts w:ascii="SimSun" w:hAnsi="SimSun"/>
          <w:color w:val="000000"/>
        </w:rPr>
        <w:t>的植株，请完成如下实验流程设计。</w:t>
      </w:r>
      <w:r w:rsidR="00AB4A91">
        <w:rPr>
          <w:noProof/>
        </w:rPr>
      </w:r>
      <w:r w:rsidR="00AB4A91">
        <w:rPr>
          <w:noProof/>
        </w:rPr>
        <w:pict>
          <v:shape id="_x0000_i1148" type="#_x0000_t75" alt="学科网 zxxk.com" style="width:.85pt;height:.85pt;mso-width-percent:0;mso-height-percent:0;mso-width-percent:0;mso-height-percent:0">
            <v:imagedata r:id="rId8" o:title=""/>
          </v:shape>
        </w:pict>
      </w:r>
    </w:p>
    <w:p w:rsidR="00D02616" w:rsidRDefault="00AB4A91">
      <w:pPr>
        <w:spacing w:line="360" w:lineRule="auto"/>
        <w:jc w:val="left"/>
        <w:textAlignment w:val="center"/>
        <w:rPr>
          <w:color w:val="000000"/>
        </w:rPr>
      </w:pPr>
      <w:r>
        <w:rPr>
          <w:rFonts w:ascii="SimSun" w:hAnsi="SimSun"/>
          <w:noProof/>
          <w:color w:val="000000"/>
        </w:rPr>
      </w:r>
      <w:r w:rsidR="00AB4A91">
        <w:rPr>
          <w:rFonts w:ascii="SimSun" w:hAnsi="SimSun"/>
          <w:noProof/>
          <w:color w:val="000000"/>
        </w:rPr>
        <w:pict>
          <v:shape id="_x0000_i1149" type="#_x0000_t75" alt="" style="width:264.6pt;height:102.35pt;mso-width-percent:0;mso-height-percent:0;mso-width-percent:0;mso-height-percent:0">
            <v:imagedata r:id="rId28" o:title=""/>
          </v:shape>
        </w:pict>
      </w:r>
      <w:r>
        <w:rPr>
          <w:noProof/>
        </w:rPr>
      </w:r>
      <w:r w:rsidR="00AB4A91">
        <w:rPr>
          <w:noProof/>
        </w:rPr>
        <w:pict>
          <v:shape id="_x0000_i1150" type="#_x0000_t75" alt="学科网 zxxk.com" style="width:.85pt;height:.85pt;mso-width-percent:0;mso-height-percent:0;mso-width-percent:0;mso-height-percent:0">
            <v:imagedata r:id="rId8" o:title=""/>
          </v:shape>
        </w:pict>
      </w:r>
    </w:p>
    <w:p w:rsidR="00D02616" w:rsidRDefault="00D02616">
      <w:pPr>
        <w:spacing w:line="360" w:lineRule="auto"/>
        <w:jc w:val="left"/>
        <w:textAlignment w:val="center"/>
        <w:rPr>
          <w:rFonts w:ascii="SimSun" w:hAnsi="SimSun"/>
          <w:color w:val="000000"/>
        </w:rPr>
      </w:pPr>
      <w:r>
        <w:rPr>
          <w:rFonts w:ascii="SimSun" w:hAnsi="SimSun"/>
          <w:color w:val="000000"/>
        </w:rPr>
        <w:t>母本基因型：__________；父本基因型：__________；对部分植物施加适量__________</w:t>
      </w:r>
      <w:r w:rsidR="00AB4A91">
        <w:rPr>
          <w:noProof/>
        </w:rPr>
      </w:r>
      <w:r w:rsidR="00AB4A91">
        <w:rPr>
          <w:noProof/>
        </w:rPr>
        <w:pict>
          <v:shape id="_x0000_i1151" type="#_x0000_t75" alt="学科网 zxxk.com" style="width:.85pt;height:.85pt;mso-width-percent:0;mso-height-percent:0;mso-width-percent:0;mso-height-percent:0">
            <v:imagedata r:id="rId8" o:title=""/>
          </v:shape>
        </w:pict>
      </w:r>
    </w:p>
    <w:p w:rsidR="00D02616" w:rsidRDefault="00D02616" w:rsidP="009273AA">
      <w:pPr>
        <w:ind w:firstLineChars="135" w:firstLine="283"/>
        <w:jc w:val="left"/>
        <w:rPr>
          <w:rFonts w:ascii="SimSun" w:hAnsi="SimSun"/>
          <w:color w:val="000000"/>
        </w:rPr>
        <w:sectPr w:rsidR="00D02616" w:rsidSect="00C321EB">
          <w:footerReference w:type="default" r:id="rId29"/>
          <w:pgSz w:w="11906" w:h="16838"/>
          <w:pgMar w:top="910" w:right="1080" w:bottom="1440" w:left="1080" w:header="152" w:footer="0" w:gutter="0"/>
          <w:cols w:space="720"/>
          <w:docGrid w:type="lines" w:linePitch="312"/>
        </w:sectPr>
      </w:pPr>
      <w:r>
        <w:rPr>
          <w:rFonts w:ascii="SimSun" w:hAnsi="SimSun"/>
          <w:color w:val="000000"/>
        </w:rPr>
        <w:br w:type="page"/>
      </w:r>
    </w:p>
    <w:p w:rsidR="00D02616" w:rsidRDefault="00D02616"/>
    <w:sectPr w:rsidR="00D02616">
      <w:footerReference w:type="default" r:id="rId30"/>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258AD" w:rsidRDefault="00E258AD">
      <w:r>
        <w:separator/>
      </w:r>
    </w:p>
  </w:endnote>
  <w:endnote w:type="continuationSeparator" w:id="0">
    <w:p w:rsidR="00E258AD" w:rsidRDefault="00E25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45D4" w:rsidRDefault="008845D4">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页</w: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45D4" w:rsidRDefault="008845D4">
    <w:pPr>
      <w:jc w:val="center"/>
      <w:rPr>
        <w:sz w:val="20"/>
      </w:rPr>
    </w:pPr>
    <w:r>
      <w:rPr>
        <w:sz w:val="20"/>
      </w:rPr>
      <w:t>第</w:t>
    </w:r>
    <w:r>
      <w:rPr>
        <w:sz w:val="20"/>
      </w:rPr>
      <w:fldChar w:fldCharType="begin"/>
    </w:r>
    <w:r>
      <w:rPr>
        <w:sz w:val="20"/>
      </w:rPr>
      <w:instrText xml:space="preserve"> PAGE </w:instrText>
    </w:r>
    <w:r w:rsidR="00AB4A91">
      <w:rPr>
        <w:sz w:val="20"/>
      </w:rPr>
      <w:fldChar w:fldCharType="separate"/>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sidR="00AB4A91">
      <w:rPr>
        <w:sz w:val="20"/>
      </w:rPr>
      <w:fldChar w:fldCharType="separate"/>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258AD" w:rsidRDefault="00E258AD">
      <w:r>
        <w:separator/>
      </w:r>
    </w:p>
  </w:footnote>
  <w:footnote w:type="continuationSeparator" w:id="0">
    <w:p w:rsidR="00E258AD" w:rsidRDefault="00E25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8E0ABC0E">
      <w:start w:val="1"/>
      <w:numFmt w:val="bullet"/>
      <w:lvlText w:val=""/>
      <w:lvlJc w:val="left"/>
      <w:pPr>
        <w:ind w:left="420" w:hanging="420"/>
      </w:pPr>
      <w:rPr>
        <w:rFonts w:ascii="Wingdings" w:hAnsi="Wingdings" w:hint="default"/>
      </w:rPr>
    </w:lvl>
    <w:lvl w:ilvl="1" w:tplc="F732C820" w:tentative="1">
      <w:start w:val="1"/>
      <w:numFmt w:val="bullet"/>
      <w:lvlText w:val=""/>
      <w:lvlJc w:val="left"/>
      <w:pPr>
        <w:ind w:left="840" w:hanging="420"/>
      </w:pPr>
      <w:rPr>
        <w:rFonts w:ascii="Wingdings" w:hAnsi="Wingdings" w:hint="default"/>
      </w:rPr>
    </w:lvl>
    <w:lvl w:ilvl="2" w:tplc="185A9CF4" w:tentative="1">
      <w:start w:val="1"/>
      <w:numFmt w:val="bullet"/>
      <w:lvlText w:val=""/>
      <w:lvlJc w:val="left"/>
      <w:pPr>
        <w:ind w:left="1260" w:hanging="420"/>
      </w:pPr>
      <w:rPr>
        <w:rFonts w:ascii="Wingdings" w:hAnsi="Wingdings" w:hint="default"/>
      </w:rPr>
    </w:lvl>
    <w:lvl w:ilvl="3" w:tplc="B71414EA" w:tentative="1">
      <w:start w:val="1"/>
      <w:numFmt w:val="bullet"/>
      <w:lvlText w:val=""/>
      <w:lvlJc w:val="left"/>
      <w:pPr>
        <w:ind w:left="1680" w:hanging="420"/>
      </w:pPr>
      <w:rPr>
        <w:rFonts w:ascii="Wingdings" w:hAnsi="Wingdings" w:hint="default"/>
      </w:rPr>
    </w:lvl>
    <w:lvl w:ilvl="4" w:tplc="A3A6B6F8" w:tentative="1">
      <w:start w:val="1"/>
      <w:numFmt w:val="bullet"/>
      <w:lvlText w:val=""/>
      <w:lvlJc w:val="left"/>
      <w:pPr>
        <w:ind w:left="2100" w:hanging="420"/>
      </w:pPr>
      <w:rPr>
        <w:rFonts w:ascii="Wingdings" w:hAnsi="Wingdings" w:hint="default"/>
      </w:rPr>
    </w:lvl>
    <w:lvl w:ilvl="5" w:tplc="C23AB262" w:tentative="1">
      <w:start w:val="1"/>
      <w:numFmt w:val="bullet"/>
      <w:lvlText w:val=""/>
      <w:lvlJc w:val="left"/>
      <w:pPr>
        <w:ind w:left="2520" w:hanging="420"/>
      </w:pPr>
      <w:rPr>
        <w:rFonts w:ascii="Wingdings" w:hAnsi="Wingdings" w:hint="default"/>
      </w:rPr>
    </w:lvl>
    <w:lvl w:ilvl="6" w:tplc="080C155E" w:tentative="1">
      <w:start w:val="1"/>
      <w:numFmt w:val="bullet"/>
      <w:lvlText w:val=""/>
      <w:lvlJc w:val="left"/>
      <w:pPr>
        <w:ind w:left="2940" w:hanging="420"/>
      </w:pPr>
      <w:rPr>
        <w:rFonts w:ascii="Wingdings" w:hAnsi="Wingdings" w:hint="default"/>
      </w:rPr>
    </w:lvl>
    <w:lvl w:ilvl="7" w:tplc="338037A4" w:tentative="1">
      <w:start w:val="1"/>
      <w:numFmt w:val="bullet"/>
      <w:lvlText w:val=""/>
      <w:lvlJc w:val="left"/>
      <w:pPr>
        <w:ind w:left="3360" w:hanging="420"/>
      </w:pPr>
      <w:rPr>
        <w:rFonts w:ascii="Wingdings" w:hAnsi="Wingdings" w:hint="default"/>
      </w:rPr>
    </w:lvl>
    <w:lvl w:ilvl="8" w:tplc="1194C262" w:tentative="1">
      <w:start w:val="1"/>
      <w:numFmt w:val="bullet"/>
      <w:lvlText w:val=""/>
      <w:lvlJc w:val="left"/>
      <w:pPr>
        <w:ind w:left="3780" w:hanging="420"/>
      </w:pPr>
      <w:rPr>
        <w:rFonts w:ascii="Wingdings" w:hAnsi="Wingdings" w:hint="default"/>
      </w:rPr>
    </w:lvl>
  </w:abstractNum>
  <w:num w:numId="1" w16cid:durableId="27945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26BD2"/>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151FC"/>
    <w:rsid w:val="00435F83"/>
    <w:rsid w:val="00444A46"/>
    <w:rsid w:val="0046214C"/>
    <w:rsid w:val="0049183B"/>
    <w:rsid w:val="004D44FD"/>
    <w:rsid w:val="004E6D8C"/>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845D4"/>
    <w:rsid w:val="00893DD6"/>
    <w:rsid w:val="008D2E94"/>
    <w:rsid w:val="009273AA"/>
    <w:rsid w:val="00974E0F"/>
    <w:rsid w:val="00982128"/>
    <w:rsid w:val="009A27BF"/>
    <w:rsid w:val="009B5666"/>
    <w:rsid w:val="009C4252"/>
    <w:rsid w:val="009E203F"/>
    <w:rsid w:val="00A07DF2"/>
    <w:rsid w:val="00A405DB"/>
    <w:rsid w:val="00A536B0"/>
    <w:rsid w:val="00AB4A91"/>
    <w:rsid w:val="00AD6B6A"/>
    <w:rsid w:val="00B80D67"/>
    <w:rsid w:val="00B8100F"/>
    <w:rsid w:val="00B96924"/>
    <w:rsid w:val="00BA1A7E"/>
    <w:rsid w:val="00BB50C6"/>
    <w:rsid w:val="00BE1BCD"/>
    <w:rsid w:val="00C02815"/>
    <w:rsid w:val="00C02FC6"/>
    <w:rsid w:val="00C321EB"/>
    <w:rsid w:val="00CA4A07"/>
    <w:rsid w:val="00D02616"/>
    <w:rsid w:val="00D51257"/>
    <w:rsid w:val="00D634C2"/>
    <w:rsid w:val="00D756B6"/>
    <w:rsid w:val="00D77F6E"/>
    <w:rsid w:val="00DA0796"/>
    <w:rsid w:val="00DA5448"/>
    <w:rsid w:val="00DF071B"/>
    <w:rsid w:val="00E258AD"/>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53"/>
    <o:shapelayout v:ext="edit">
      <o:idmap v:ext="edit" data="1"/>
    </o:shapelayout>
  </w:shapeDefaults>
  <w:decimalSymbol w:val="."/>
  <w:listSeparator w:val=","/>
  <w15:chartTrackingRefBased/>
  <w15:docId w15:val="{D105C9E1-6856-D44E-B0E0-70351236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link w:val="Header"/>
    <w:uiPriority w:val="99"/>
    <w:rsid w:val="003102DB"/>
    <w:rPr>
      <w:kern w:val="2"/>
      <w:sz w:val="18"/>
      <w:szCs w:val="24"/>
    </w:rPr>
  </w:style>
  <w:style w:type="paragraph" w:styleId="NoSpacing">
    <w:name w:val="No Spacing"/>
    <w:uiPriority w:val="1"/>
    <w:qFormat/>
    <w:rsid w:val="003102DB"/>
    <w:rPr>
      <w:rFonts w:ascii="Calibri" w:eastAsia="Microsoft YaHei UI" w:hAnsi="Calibri" w:cs="Times New Roman"/>
      <w:sz w:val="22"/>
      <w:szCs w:val="22"/>
    </w:rPr>
  </w:style>
  <w:style w:type="character" w:styleId="Hyperlink">
    <w:name w:val="Hyperlink"/>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810540">
      <w:bodyDiv w:val="1"/>
      <w:marLeft w:val="0"/>
      <w:marRight w:val="0"/>
      <w:marTop w:val="0"/>
      <w:marBottom w:val="0"/>
      <w:divBdr>
        <w:top w:val="none" w:sz="0" w:space="0" w:color="auto"/>
        <w:left w:val="none" w:sz="0" w:space="0" w:color="auto"/>
        <w:bottom w:val="none" w:sz="0" w:space="0" w:color="auto"/>
        <w:right w:val="none" w:sz="0" w:space="0" w:color="auto"/>
      </w:divBdr>
      <w:divsChild>
        <w:div w:id="1528566539">
          <w:marLeft w:val="0"/>
          <w:marRight w:val="0"/>
          <w:marTop w:val="0"/>
          <w:marBottom w:val="0"/>
          <w:divBdr>
            <w:top w:val="none" w:sz="0" w:space="0" w:color="auto"/>
            <w:left w:val="none" w:sz="0" w:space="0" w:color="auto"/>
            <w:bottom w:val="none" w:sz="0" w:space="0" w:color="auto"/>
            <w:right w:val="none" w:sz="0" w:space="0" w:color="auto"/>
          </w:divBdr>
        </w:div>
      </w:divsChild>
    </w:div>
    <w:div w:id="464398441">
      <w:bodyDiv w:val="1"/>
      <w:marLeft w:val="0"/>
      <w:marRight w:val="0"/>
      <w:marTop w:val="0"/>
      <w:marBottom w:val="0"/>
      <w:divBdr>
        <w:top w:val="none" w:sz="0" w:space="0" w:color="auto"/>
        <w:left w:val="none" w:sz="0" w:space="0" w:color="auto"/>
        <w:bottom w:val="none" w:sz="0" w:space="0" w:color="auto"/>
        <w:right w:val="none" w:sz="0" w:space="0" w:color="auto"/>
      </w:divBdr>
      <w:divsChild>
        <w:div w:id="136530796">
          <w:marLeft w:val="0"/>
          <w:marRight w:val="0"/>
          <w:marTop w:val="0"/>
          <w:marBottom w:val="0"/>
          <w:divBdr>
            <w:top w:val="none" w:sz="0" w:space="0" w:color="auto"/>
            <w:left w:val="none" w:sz="0" w:space="0" w:color="auto"/>
            <w:bottom w:val="none" w:sz="0" w:space="0" w:color="auto"/>
            <w:right w:val="none" w:sz="0" w:space="0" w:color="auto"/>
          </w:divBdr>
        </w:div>
      </w:divsChild>
    </w:div>
    <w:div w:id="506871731">
      <w:bodyDiv w:val="1"/>
      <w:marLeft w:val="0"/>
      <w:marRight w:val="0"/>
      <w:marTop w:val="0"/>
      <w:marBottom w:val="0"/>
      <w:divBdr>
        <w:top w:val="none" w:sz="0" w:space="0" w:color="auto"/>
        <w:left w:val="none" w:sz="0" w:space="0" w:color="auto"/>
        <w:bottom w:val="none" w:sz="0" w:space="0" w:color="auto"/>
        <w:right w:val="none" w:sz="0" w:space="0" w:color="auto"/>
      </w:divBdr>
    </w:div>
    <w:div w:id="728891412">
      <w:bodyDiv w:val="1"/>
      <w:marLeft w:val="0"/>
      <w:marRight w:val="0"/>
      <w:marTop w:val="0"/>
      <w:marBottom w:val="0"/>
      <w:divBdr>
        <w:top w:val="none" w:sz="0" w:space="0" w:color="auto"/>
        <w:left w:val="none" w:sz="0" w:space="0" w:color="auto"/>
        <w:bottom w:val="none" w:sz="0" w:space="0" w:color="auto"/>
        <w:right w:val="none" w:sz="0" w:space="0" w:color="auto"/>
      </w:divBdr>
      <w:divsChild>
        <w:div w:id="582490952">
          <w:marLeft w:val="0"/>
          <w:marRight w:val="0"/>
          <w:marTop w:val="0"/>
          <w:marBottom w:val="0"/>
          <w:divBdr>
            <w:top w:val="none" w:sz="0" w:space="0" w:color="auto"/>
            <w:left w:val="none" w:sz="0" w:space="0" w:color="auto"/>
            <w:bottom w:val="none" w:sz="0" w:space="0" w:color="auto"/>
            <w:right w:val="none" w:sz="0" w:space="0" w:color="auto"/>
          </w:divBdr>
        </w:div>
      </w:divsChild>
    </w:div>
  </w:divs>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