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094878" w14:paraId="6744223F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10236200</wp:posOffset>
            </wp:positionH>
            <wp:positionV relativeFrom="topMargin">
              <wp:posOffset>11912600</wp:posOffset>
            </wp:positionV>
            <wp:extent cx="368300" cy="342900"/>
            <wp:effectExtent l="0" t="0" r="0" b="0"/>
            <wp:wrapNone/>
            <wp:docPr id="100026" name="图片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年普通高等学校招生全国统一考试（乙卷）</w:t>
      </w:r>
    </w:p>
    <w:p w:rsidR="00094878" w14:paraId="3BE2A8D9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生物部分</w:t>
      </w:r>
    </w:p>
    <w:p w:rsidR="00094878" w14:paraId="01745E22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一、单选题</w:t>
      </w:r>
    </w:p>
    <w:p w:rsidR="00094878" w14:paraId="684BF4E6" w14:textId="77777777">
      <w:pPr>
        <w:spacing w:line="360" w:lineRule="auto"/>
        <w:jc w:val="left"/>
        <w:textAlignment w:val="center"/>
        <w:rPr>
          <w:rFonts w:ascii="宋体" w:hAnsi="宋体"/>
        </w:rPr>
      </w:pPr>
      <w:r>
        <w:t xml:space="preserve">1. </w:t>
      </w:r>
      <w:r>
        <w:rPr>
          <w:rFonts w:ascii="宋体" w:hAnsi="宋体"/>
        </w:rPr>
        <w:t>有丝分裂和减数分裂是哺乳动物细胞分裂的两种形式。某动物的基因型是</w:t>
      </w:r>
      <w:r>
        <w:rPr>
          <w:rFonts w:eastAsia="Times New Roman" w:cs="Times New Roman"/>
        </w:rPr>
        <w:t>Aa</w:t>
      </w:r>
      <w:r>
        <w:rPr>
          <w:rFonts w:ascii="宋体" w:hAnsi="宋体"/>
        </w:rPr>
        <w:t>，若该动物的某细胞在四分体时期一条染色单体上的</w:t>
      </w:r>
      <w:r>
        <w:rPr>
          <w:rFonts w:eastAsia="Times New Roman" w:cs="Times New Roman"/>
        </w:rPr>
        <w:t>A</w:t>
      </w:r>
      <w:r>
        <w:rPr>
          <w:rFonts w:ascii="宋体" w:hAnsi="宋体"/>
        </w:rPr>
        <w:t>和另一条染色单体上的</w:t>
      </w:r>
      <w:r>
        <w:rPr>
          <w:rFonts w:eastAsia="Times New Roman" w:cs="Times New Roman"/>
        </w:rPr>
        <w:t>a</w:t>
      </w:r>
      <w:r>
        <w:rPr>
          <w:rFonts w:ascii="宋体" w:hAnsi="宋体"/>
        </w:rPr>
        <w:t>发生了互换，则通常情况下姐妹染色单体分离导致等位基因</w:t>
      </w:r>
      <w:r>
        <w:rPr>
          <w:rFonts w:eastAsia="Times New Roman" w:cs="Times New Roman"/>
        </w:rPr>
        <w:t>A</w:t>
      </w:r>
      <w:r>
        <w:rPr>
          <w:rFonts w:ascii="宋体" w:hAnsi="宋体"/>
        </w:rPr>
        <w:t>和</w:t>
      </w:r>
      <w:r>
        <w:rPr>
          <w:rFonts w:eastAsia="Times New Roman" w:cs="Times New Roman"/>
        </w:rPr>
        <w:t>a</w:t>
      </w:r>
      <w:r>
        <w:rPr>
          <w:rFonts w:ascii="宋体" w:hAnsi="宋体"/>
        </w:rPr>
        <w:t>进入不同细胞的时期是（　　）</w:t>
      </w:r>
    </w:p>
    <w:p w:rsidR="00094878" w14:paraId="44FEFE63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</w:rPr>
      </w:pPr>
      <w:r w:rsidRPr="00BE1BCD">
        <w:rPr>
          <w:rFonts w:hint="eastAsia"/>
        </w:rPr>
        <w:t xml:space="preserve">A. </w:t>
      </w:r>
      <w:r w:rsidR="00960CB0">
        <w:rPr>
          <w:rFonts w:ascii="宋体" w:hAnsi="宋体"/>
        </w:rPr>
        <w:t>有丝分裂的后期</w:t>
      </w:r>
      <w:r w:rsidRPr="00BE1BCD">
        <w:rPr>
          <w:rFonts w:hint="eastAsia"/>
        </w:rPr>
        <w:tab/>
        <w:t xml:space="preserve">B. </w:t>
      </w:r>
      <w:r w:rsidR="00960CB0">
        <w:rPr>
          <w:rFonts w:ascii="宋体" w:hAnsi="宋体"/>
        </w:rPr>
        <w:t>有丝分裂的末期</w:t>
      </w:r>
    </w:p>
    <w:p w:rsidR="00094878" w14:paraId="0571F150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 w:rsidRPr="00BE1BCD">
        <w:rPr>
          <w:rFonts w:hint="eastAsia"/>
        </w:rPr>
        <w:t xml:space="preserve">C. </w:t>
      </w:r>
      <w:r w:rsidR="00960CB0">
        <w:rPr>
          <w:rFonts w:ascii="宋体" w:hAnsi="宋体"/>
        </w:rPr>
        <w:t>减数第一次分裂</w:t>
      </w:r>
      <w:r w:rsidRPr="00BE1BCD">
        <w:rPr>
          <w:rFonts w:hint="eastAsia"/>
        </w:rPr>
        <w:tab/>
        <w:t xml:space="preserve">D. </w:t>
      </w:r>
      <w:r w:rsidR="00960CB0">
        <w:rPr>
          <w:rFonts w:ascii="宋体" w:hAnsi="宋体"/>
        </w:rPr>
        <w:t>减数第二次分裂</w:t>
      </w:r>
    </w:p>
    <w:p w:rsidR="00094878" w14:paraId="7F43394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某同学将一株生长正常的小麦置于密闭容器中，在适宜且恒定的温度和光照条件下培养，发现容器内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含量初期逐渐降低，之后保持相对稳定。关于这一实验现象，下列解释合理的是（　　）</w:t>
      </w:r>
    </w:p>
    <w:p w:rsidR="00094878" w14:paraId="50F8D02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初期光合速率逐渐升高，之后光合速率等于呼吸速率</w:t>
      </w:r>
    </w:p>
    <w:p w:rsidR="00094878" w14:paraId="74572C8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初期光合速率和呼吸速率均降低，之后呼吸速率保持稳定</w:t>
      </w:r>
    </w:p>
    <w:p w:rsidR="00094878" w14:paraId="4F54439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初期呼吸速率大于光合速率，之后呼吸速率等于光合速率</w:t>
      </w:r>
    </w:p>
    <w:p w:rsidR="00094878" w14:paraId="6EB2883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初期光合速率大于呼吸速率，之后光合速率等于呼吸速率</w:t>
      </w:r>
    </w:p>
    <w:p w:rsidR="00094878" w14:paraId="5220B04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运动神经元与骨骼肌之间的兴奋传递过度会引起肌肉痉挛，严重时会危及生命。下列治疗方法中合理的是（　　）</w:t>
      </w:r>
    </w:p>
    <w:p w:rsidR="00094878" w14:paraId="4B18397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通过药物加快神经递质经突触前膜释放到突触间隙中</w:t>
      </w:r>
    </w:p>
    <w:p w:rsidR="00094878" w14:paraId="7B6051C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通过药物阻止神经递质与突触后膜上特异性受体结合</w:t>
      </w:r>
    </w:p>
    <w:p w:rsidR="00094878" w14:paraId="392D51A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通过药物抑制突触间隙中可降解神经递质的酶的活性</w:t>
      </w:r>
    </w:p>
    <w:p w:rsidR="00094878" w14:paraId="1AA3175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通过药物增加突触后膜上神经递质特异性受体的数量</w:t>
      </w:r>
    </w:p>
    <w:p w:rsidR="00094878" w14:paraId="7DC4297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某种酶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由</w:t>
      </w:r>
      <w:r>
        <w:rPr>
          <w:rFonts w:eastAsia="Times New Roman" w:cs="Times New Roman"/>
          <w:color w:val="000000"/>
        </w:rPr>
        <w:t>RNA</w:t>
      </w:r>
      <w:r>
        <w:rPr>
          <w:rFonts w:ascii="宋体" w:hAnsi="宋体"/>
          <w:color w:val="000000"/>
        </w:rPr>
        <w:t>和蛋白质组成，可催化底物转化为相应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200364" name="图片 200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产物。为探究该酶不同组分催化反应所需的条件。某同学进行了下列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组实验（表中“</w:t>
      </w:r>
      <w:r>
        <w:rPr>
          <w:rFonts w:eastAsia="Times New Roman" w:cs="Times New Roman"/>
          <w:color w:val="000000"/>
        </w:rPr>
        <w:t>+</w:t>
      </w:r>
      <w:r>
        <w:rPr>
          <w:rFonts w:ascii="宋体" w:hAnsi="宋体"/>
          <w:color w:val="000000"/>
        </w:rPr>
        <w:t>”表示有，“－”表示无）。</w:t>
      </w:r>
    </w:p>
    <w:tbl>
      <w:tblPr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695"/>
        <w:gridCol w:w="1065"/>
        <w:gridCol w:w="1380"/>
        <w:gridCol w:w="1380"/>
        <w:gridCol w:w="1380"/>
        <w:gridCol w:w="1380"/>
      </w:tblGrid>
      <w:tr w14:paraId="79B5B970" w14:textId="77777777">
        <w:tblPrEx>
          <w:tblW w:w="828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6978B763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实验组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57205177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①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0DE22FC7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②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394FAE33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③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40DAAA40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④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1FC23D48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⑤</w:t>
            </w:r>
          </w:p>
        </w:tc>
      </w:tr>
      <w:tr w14:paraId="0807A54E" w14:textId="77777777">
        <w:tblPrEx>
          <w:tblW w:w="828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4B97E610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底物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1D61CEB4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4C438F87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56E61A77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54921AB3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04172C35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</w:t>
            </w:r>
          </w:p>
        </w:tc>
      </w:tr>
      <w:tr w14:paraId="1066460F" w14:textId="77777777">
        <w:tblPrEx>
          <w:tblW w:w="828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285D4FB8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RNA</w:t>
            </w:r>
            <w:r>
              <w:rPr>
                <w:rFonts w:ascii="宋体" w:hAnsi="宋体"/>
                <w:color w:val="000000"/>
              </w:rPr>
              <w:t>组分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1EC80A08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7B35939E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516D15E0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－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60ED076B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004273EF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－</w:t>
            </w:r>
          </w:p>
        </w:tc>
      </w:tr>
      <w:tr w14:paraId="7508A841" w14:textId="77777777">
        <w:tblPrEx>
          <w:tblW w:w="828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3E9A63B3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蛋白质组分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43EF9F5A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5AC11D21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－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3D87683C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0EB69932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－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0E1FCD03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</w:t>
            </w:r>
          </w:p>
        </w:tc>
      </w:tr>
      <w:tr w14:paraId="38E28499" w14:textId="77777777">
        <w:tblPrEx>
          <w:tblW w:w="828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682BC058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低浓度</w:t>
            </w:r>
            <w:r>
              <w:rPr>
                <w:rFonts w:eastAsia="Times New Roman" w:cs="Times New Roman"/>
                <w:color w:val="000000"/>
              </w:rPr>
              <w:t>Mg</w:t>
            </w:r>
            <w:r>
              <w:rPr>
                <w:rFonts w:eastAsia="Times New Roman" w:cs="Times New Roman"/>
                <w:color w:val="000000"/>
                <w:vertAlign w:val="superscript"/>
              </w:rPr>
              <w:t>2+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717EDE30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2B1EB8B2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54A055CF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2608DB8A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－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3CDB01D8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－</w:t>
            </w:r>
          </w:p>
        </w:tc>
      </w:tr>
      <w:tr w14:paraId="5C722C08" w14:textId="77777777">
        <w:tblPrEx>
          <w:tblW w:w="828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6505C635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高浓度</w:t>
            </w:r>
            <w:r>
              <w:rPr>
                <w:rFonts w:eastAsia="Times New Roman" w:cs="Times New Roman"/>
                <w:color w:val="000000"/>
              </w:rPr>
              <w:t>Mg</w:t>
            </w:r>
            <w:r>
              <w:rPr>
                <w:rFonts w:eastAsia="Times New Roman" w:cs="Times New Roman"/>
                <w:color w:val="000000"/>
                <w:vertAlign w:val="superscript"/>
              </w:rPr>
              <w:t>2+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2991DD49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－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5BE300ED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－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2EA761E9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－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6663EB01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223B6A85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</w:t>
            </w:r>
          </w:p>
        </w:tc>
      </w:tr>
      <w:tr w14:paraId="51950F99" w14:textId="77777777">
        <w:tblPrEx>
          <w:tblW w:w="828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23102632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产物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3D96063C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3F79FCDF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－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45E6BF05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－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403AEBA6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2F6F0810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－</w:t>
            </w:r>
          </w:p>
        </w:tc>
      </w:tr>
    </w:tbl>
    <w:p w:rsidR="00094878" w14:paraId="5E844CD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根据实验结果可以得出的结论是（　　）</w:t>
      </w:r>
    </w:p>
    <w:p w:rsidR="00094878" w14:paraId="1485331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酶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必须在高浓度</w:t>
      </w:r>
      <w:r>
        <w:rPr>
          <w:rFonts w:eastAsia="Times New Roman" w:cs="Times New Roman"/>
          <w:color w:val="000000"/>
        </w:rPr>
        <w:t>Mg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条件下才具有催化活性</w:t>
      </w:r>
    </w:p>
    <w:p w:rsidR="00094878" w14:paraId="5505E8C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蛋白质组分的催化活性随</w:t>
      </w:r>
      <w:r>
        <w:rPr>
          <w:rFonts w:eastAsia="Times New Roman" w:cs="Times New Roman"/>
          <w:color w:val="000000"/>
        </w:rPr>
        <w:t>Mg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浓度升高而升高</w:t>
      </w:r>
    </w:p>
    <w:p w:rsidR="00094878" w14:paraId="5EBFD19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在高浓度</w:t>
      </w:r>
      <w:r>
        <w:rPr>
          <w:rFonts w:eastAsia="Times New Roman" w:cs="Times New Roman"/>
          <w:color w:val="000000"/>
        </w:rPr>
        <w:t>Mg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条件下</w:t>
      </w:r>
      <w:r>
        <w:rPr>
          <w:rFonts w:eastAsia="Times New Roman" w:cs="Times New Roman"/>
          <w:color w:val="000000"/>
        </w:rPr>
        <w:t>RNA</w:t>
      </w:r>
      <w:r>
        <w:rPr>
          <w:rFonts w:ascii="宋体" w:hAnsi="宋体"/>
          <w:color w:val="000000"/>
        </w:rPr>
        <w:t>组分具有催化活性</w:t>
      </w:r>
    </w:p>
    <w:p w:rsidR="00094878" w14:paraId="7FD869A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在高浓度</w:t>
      </w:r>
      <w:r>
        <w:rPr>
          <w:rFonts w:eastAsia="Times New Roman" w:cs="Times New Roman"/>
          <w:color w:val="000000"/>
        </w:rPr>
        <w:t>Mg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条件下蛋白质组分具有催化活性</w:t>
      </w:r>
    </w:p>
    <w:p w:rsidR="00094878" w14:paraId="2C59A5F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分层现象是群落研究的重要内容。下列关于森林群落分层现象的叙述，正确的是（　　）</w:t>
      </w:r>
    </w:p>
    <w:p w:rsidR="00094878" w14:paraId="064122C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森林群落的分层现象提高了生物对环境资源的利用能力</w:t>
      </w:r>
    </w:p>
    <w:p w:rsidR="00094878" w14:paraId="0BE0775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森林植物从上到下可分为不同层次，最上层为灌木层</w:t>
      </w:r>
    </w:p>
    <w:p w:rsidR="00094878" w14:paraId="3D4F749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③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垂直方向上森林中植物分层现象与对光的利用有关</w:t>
      </w:r>
    </w:p>
    <w:p w:rsidR="00094878" w14:paraId="2C39785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④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森林群落中动物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200366" name="图片 200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分层现象与食物有关</w:t>
      </w:r>
    </w:p>
    <w:p w:rsidR="00094878" w14:paraId="33CB4CA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⑤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森林群落中植物的分层现象是自然选择的结果</w:t>
      </w:r>
    </w:p>
    <w:p w:rsidR="00094878" w14:paraId="19482D0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⑥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群落中植物垂直分层现象的形成是由动物种类决定的</w:t>
      </w:r>
    </w:p>
    <w:p w:rsidR="00094878" w14:paraId="00F3821E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①③④⑤</w:t>
      </w:r>
      <w:r>
        <w:rPr>
          <w:rFonts w:ascii="宋体" w:hAnsi="宋体"/>
          <w:color w:val="000000"/>
        </w:rPr>
        <w:tab/>
        <w:t>B. ②④⑤⑥</w:t>
      </w:r>
    </w:p>
    <w:p w:rsidR="00094878" w14:paraId="18D36AF4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①②③⑥</w:t>
      </w:r>
      <w:r>
        <w:rPr>
          <w:rFonts w:ascii="宋体" w:hAnsi="宋体"/>
          <w:color w:val="000000"/>
        </w:rPr>
        <w:tab/>
        <w:t>D. ③④⑤⑥</w:t>
      </w:r>
    </w:p>
    <w:p w:rsidR="00094878" w14:paraId="01BAD30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依据鸡的某些遗传性状可以在早期区分雌雄，提高养鸡场的经济效益。已知鸡的羽毛性状芦花和非芦花受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对等位基因控制。芦花鸡和非芦花鸡进行杂交，正交子代中芦花鸡和非芦花鸡数目相同，反交子代均为芦花鸡。下列分析及推断错误的是（　　）</w:t>
      </w:r>
    </w:p>
    <w:p w:rsidR="00094878" w14:paraId="773DB3D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正交亲本中雌鸡为芦花鸡，雄鸡为非芦花鸡</w:t>
      </w:r>
    </w:p>
    <w:p w:rsidR="00094878" w14:paraId="1528A1C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正交子代和反交子代中的芦花雄鸡均为杂合体</w:t>
      </w:r>
    </w:p>
    <w:p w:rsidR="00094878" w14:paraId="52D3025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反交子代芦花鸡相互交配，所产雌鸡均为芦花鸡</w:t>
      </w:r>
    </w:p>
    <w:p w:rsidR="00094878" w14:paraId="040CD20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仅根据羽毛性状芦花和非芦花即可区分正交子代性别</w:t>
      </w:r>
    </w:p>
    <w:p w:rsidR="00094878" w14:paraId="7AE1AF3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农业生产中，农作物生长所需的氮素可以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6.05pt;height:19.15pt" o:ole="">
            <v:imagedata r:id="rId7" o:title="eqId65c41754d5a6063c49f6ee429dc68065"/>
          </v:shape>
          <o:OLEObject Type="Embed" ProgID="Equation.DSMT4" ShapeID="_x0000_i1025" DrawAspect="Content" ObjectID="_1716455561" r:id="rId8"/>
        </w:object>
      </w:r>
      <w:r>
        <w:rPr>
          <w:rFonts w:ascii="宋体" w:hAnsi="宋体"/>
          <w:color w:val="000000"/>
        </w:rPr>
        <w:t>的形式由根系从土壤中吸收。一定时间内作物甲和作物乙的根细胞吸收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26.05pt;height:19.15pt" o:ole="">
            <v:imagedata r:id="rId7" o:title="eqId65c41754d5a6063c49f6ee429dc68065"/>
          </v:shape>
          <o:OLEObject Type="Embed" ProgID="Equation.DSMT4" ShapeID="_x0000_i1026" DrawAspect="Content" ObjectID="_1716455562" r:id="rId9"/>
        </w:object>
      </w:r>
      <w:r>
        <w:rPr>
          <w:rFonts w:ascii="宋体" w:hAnsi="宋体"/>
          <w:color w:val="000000"/>
        </w:rPr>
        <w:t>的速率与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浓度的关系如图所示。回答下列问题。</w:t>
      </w:r>
    </w:p>
    <w:p w:rsidR="00094878" w14:paraId="3F0B503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152650" cy="14478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878" w14:paraId="3011C87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（1）由图可判断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6.05pt;height:19.15pt" o:ole="">
            <v:imagedata r:id="rId7" o:title="eqId65c41754d5a6063c49f6ee429dc68065"/>
          </v:shape>
          <o:OLEObject Type="Embed" ProgID="Equation.DSMT4" ShapeID="_x0000_i1027" DrawAspect="Content" ObjectID="_1716455563" r:id="rId11"/>
        </w:object>
      </w:r>
      <w:r>
        <w:rPr>
          <w:rFonts w:ascii="宋体" w:hAnsi="宋体"/>
          <w:color w:val="000000"/>
        </w:rPr>
        <w:t>进入跟细胞的运输方式是主动运输，判断的依据是______。</w:t>
      </w:r>
    </w:p>
    <w:p w:rsidR="00094878" w14:paraId="35445FB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浓度大于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时作物乙吸收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6.05pt;height:19.15pt" o:ole="">
            <v:imagedata r:id="rId7" o:title="eqId65c41754d5a6063c49f6ee429dc68065"/>
          </v:shape>
          <o:OLEObject Type="Embed" ProgID="Equation.DSMT4" ShapeID="_x0000_i1028" DrawAspect="Content" ObjectID="_1716455564" r:id="rId12"/>
        </w:object>
      </w:r>
      <w:r>
        <w:rPr>
          <w:rFonts w:ascii="宋体" w:hAnsi="宋体"/>
          <w:color w:val="000000"/>
        </w:rPr>
        <w:t>速率不再增加，推测其原因是______。</w:t>
      </w:r>
    </w:p>
    <w:p w:rsidR="00094878" w14:paraId="1B17B05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（3）作物甲和作物乙各自在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6.05pt;height:19.15pt" o:ole="">
            <v:imagedata r:id="rId7" o:title="eqId65c41754d5a6063c49f6ee429dc68065"/>
          </v:shape>
          <o:OLEObject Type="Embed" ProgID="Equation.DSMT4" ShapeID="_x0000_i1029" DrawAspect="Content" ObjectID="_1716455565" r:id="rId13"/>
        </w:object>
      </w:r>
      <w:r>
        <w:rPr>
          <w:rFonts w:ascii="宋体" w:hAnsi="宋体"/>
          <w:color w:val="000000"/>
        </w:rPr>
        <w:t>最大吸收速率时，作物甲跟细胞的呼吸速率大于作物乙，判断依据是______。</w:t>
      </w:r>
    </w:p>
    <w:p w:rsidR="00094878" w14:paraId="76D4C56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（4）据图可知，在农业生产中，为促进农作物对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6.05pt;height:19.15pt" o:ole="">
            <v:imagedata r:id="rId7" o:title="eqId65c41754d5a6063c49f6ee429dc68065"/>
          </v:shape>
          <o:OLEObject Type="Embed" ProgID="Equation.DSMT4" ShapeID="_x0000_i1030" DrawAspect="Content" ObjectID="_1716455566" r:id="rId14"/>
        </w:object>
      </w:r>
      <w:r>
        <w:rPr>
          <w:rFonts w:ascii="宋体" w:hAnsi="宋体"/>
          <w:color w:val="000000"/>
        </w:rPr>
        <w:t>的吸收利用，可以采取的措施是______。</w:t>
      </w:r>
    </w:p>
    <w:p w:rsidR="00094878" w14:paraId="5BA7064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甲状腺激素在促进机体新陈代谢和生长发育过程中发挥重要作用。为了研究动物体内甲状腺激素的合成和调节机制，某研究小组进行了下列相关实验。</w:t>
      </w:r>
    </w:p>
    <w:p w:rsidR="00094878" w14:paraId="31A861E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实验一：将一定量的放射性碘溶液经腹腔注射到家兔体内，一定时间后测定家兔甲状腺的放射性强度。</w:t>
      </w:r>
    </w:p>
    <w:p w:rsidR="00094878" w14:paraId="23C0B6C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实验二：给甲、乙、丙三组家兔分别经静脉注射一定量的生理盐水、甲状腺激素溶液、促甲状腺激素溶液。一定时间后分别测定三组家兔血中甲状腺激素的含量，发现注射的甲状腺激素和促甲状腺激素都起到了相应的调节作用。</w:t>
      </w:r>
    </w:p>
    <w:p w:rsidR="00094878" w14:paraId="3330E4A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回答下列问题。</w:t>
      </w:r>
    </w:p>
    <w:p w:rsidR="00094878" w14:paraId="75C0DE3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（1）实验一中，家兔甲状腺中检测到碘的放射性，出现这一现象的原因是______。</w:t>
      </w:r>
    </w:p>
    <w:p w:rsidR="00094878" w14:paraId="031AC8D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（2）根据实验二推测，丙组甲状腺激素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200367" name="图片 200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合成量______（填“大于”或“小于”）甲组。乙组和丙组甲状腺激素的合成量______（填“相同”或“不相同”），原因是______。</w:t>
      </w:r>
    </w:p>
    <w:p w:rsidR="00094878" w14:paraId="3598A61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某研究小组借助空中拍照技术调查草原上地面活动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200368" name="图片 200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某种哺乳动物的种群数量，主要操作流程是选取样方、空中拍照、识别照片中该种动物并计数。回答下列问题。</w:t>
      </w:r>
    </w:p>
    <w:p w:rsidR="00094878" w14:paraId="3C29B2F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（1）为保证调查的可靠性和准确性，选取样方是应注意的主要事项有______（答出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点即可）。</w:t>
      </w:r>
    </w:p>
    <w:p w:rsidR="00094878" w14:paraId="26C3144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（2）已知调查区域总面积为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，样方面积为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，样方内平均个体数为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，则该区域的种群数量为______。</w:t>
      </w:r>
    </w:p>
    <w:p w:rsidR="00094878" w14:paraId="24ECE4B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（3）与标志重捕法相比，上述调查方法的优势有______（答出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点即可）。</w:t>
      </w:r>
    </w:p>
    <w:p w:rsidR="00094878" w14:paraId="2F1032C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某种植物的花色有白、红和紫三种，花的颜色由花瓣中色素决定，色素的合成途径是：白色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8.4pt;height:36pt" o:ole="">
            <v:imagedata r:id="rId15" o:title="eqIdc1df7b78697514f0a48b8f50eb4259e5"/>
          </v:shape>
          <o:OLEObject Type="Embed" ProgID="Equation.DSMT4" ShapeID="_x0000_i1031" DrawAspect="Content" ObjectID="_1716455567" r:id="rId16"/>
        </w:object>
      </w:r>
      <w:r>
        <w:rPr>
          <w:rFonts w:ascii="宋体" w:hAnsi="宋体"/>
          <w:color w:val="000000"/>
        </w:rPr>
        <w:t>红色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1.45pt;height:36pt" o:ole="">
            <v:imagedata r:id="rId17" o:title="eqIdd490571ec4dc465206b46f420a7bdcb9"/>
          </v:shape>
          <o:OLEObject Type="Embed" ProgID="Equation.DSMT4" ShapeID="_x0000_i1032" DrawAspect="Content" ObjectID="_1716455568" r:id="rId18"/>
        </w:object>
      </w:r>
      <w:r>
        <w:rPr>
          <w:rFonts w:ascii="宋体" w:hAnsi="宋体"/>
          <w:color w:val="000000"/>
        </w:rPr>
        <w:t>紫色。其中酶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的合成由基因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控制，酶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的合成由基因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控制，基因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和基因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位于非同源染色体上、回答下列问题。</w:t>
      </w:r>
    </w:p>
    <w:p w:rsidR="00094878" w14:paraId="1B78C96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（1）现有紫花植株（基因型为</w:t>
      </w:r>
      <w:r>
        <w:rPr>
          <w:rFonts w:eastAsia="Times New Roman" w:cs="Times New Roman"/>
          <w:color w:val="000000"/>
        </w:rPr>
        <w:t>AaBb</w:t>
      </w:r>
      <w:r>
        <w:rPr>
          <w:rFonts w:ascii="宋体" w:hAnsi="宋体"/>
          <w:color w:val="000000"/>
        </w:rPr>
        <w:t>）与红花杂合体植株杂交，子代植株表现型及其比例为______；子代中红花植株的基因型是______；子代白花植株中纯合体占的比例为______。</w:t>
      </w:r>
    </w:p>
    <w:p w:rsidR="00094878" w14:paraId="03D2FE0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（2）已知白花纯合体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200365" name="图片 200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基因型有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种。现有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株白花纯合体植株甲，若要通过杂交实验（要求选用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种纯合体亲本与植株甲只进行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次杂交）来确定其基因型，请写出选用的亲本基因型、预期实验结果和结论。</w:t>
      </w:r>
    </w:p>
    <w:p w:rsidR="00094878" w14:paraId="50677628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【生物——选修</w:t>
      </w: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：生物技术实践】</w:t>
      </w:r>
    </w:p>
    <w:p w:rsidR="00094878" w14:paraId="2C2CB7C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化合物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被广泛应用于医药、食品和化工工业、用菌株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可生产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的产量与菌株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培养所利用的碳源关系密切。为此，某小组通过实验比较不同碳源对菌体生长和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产量的影响，结果见表。</w:t>
      </w:r>
    </w:p>
    <w:tbl>
      <w:tblPr>
        <w:tblW w:w="72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115"/>
        <w:gridCol w:w="2550"/>
        <w:gridCol w:w="2550"/>
      </w:tblGrid>
      <w:tr w14:paraId="0F856745" w14:textId="77777777">
        <w:tblPrEx>
          <w:tblW w:w="721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4A93C9BA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碳源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22AEBC63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细胞干重（</w:t>
            </w:r>
            <w:r>
              <w:rPr>
                <w:rFonts w:eastAsia="Times New Roman" w:cs="Times New Roman"/>
                <w:color w:val="000000"/>
              </w:rPr>
              <w:t>g/L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247DF74F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S</w:t>
            </w:r>
            <w:r>
              <w:rPr>
                <w:rFonts w:ascii="宋体" w:hAnsi="宋体"/>
                <w:color w:val="000000"/>
              </w:rPr>
              <w:t>产量（</w:t>
            </w:r>
            <w:r>
              <w:rPr>
                <w:rFonts w:eastAsia="Times New Roman" w:cs="Times New Roman"/>
                <w:color w:val="000000"/>
              </w:rPr>
              <w:t>g/L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</w:tr>
      <w:tr w14:paraId="26F5AC55" w14:textId="77777777">
        <w:tblPrEx>
          <w:tblW w:w="721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0BD7862E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葡萄糖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66434A75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3.12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3E8C49BD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0.15</w:t>
            </w:r>
          </w:p>
        </w:tc>
      </w:tr>
      <w:tr w14:paraId="6FFAABBC" w14:textId="77777777">
        <w:tblPrEx>
          <w:tblW w:w="721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39E0F619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淀粉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064DDFEC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0.01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7494151B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0.00</w:t>
            </w:r>
          </w:p>
        </w:tc>
      </w:tr>
      <w:tr w14:paraId="55AB600A" w14:textId="77777777">
        <w:tblPrEx>
          <w:tblW w:w="721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7E9B401B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制糖废液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24F752E8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2.30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94878" w14:paraId="3F3454F0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0.18</w:t>
            </w:r>
          </w:p>
        </w:tc>
      </w:tr>
    </w:tbl>
    <w:p w:rsidR="00094878" w14:paraId="2A904C3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回答下列问题。</w:t>
      </w:r>
    </w:p>
    <w:p w:rsidR="00094878" w14:paraId="7CC8484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（1）通常在实验室培养微生物时，需要对所需的玻璃器皿进行灭菌，灭菌的方法有______（答出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点即可）。</w:t>
      </w:r>
    </w:p>
    <w:p w:rsidR="00094878" w14:paraId="2A8A6A8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（2）由实验结果可知，菌株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生长的最适碳源是______；用菌株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生产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的最适碳源是______。菌株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的生长除需要碳源外，还需要______（答出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点即可）等营养物质。</w:t>
      </w:r>
    </w:p>
    <w:p w:rsidR="00094878" w14:paraId="1B2635B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（3）由实验结果可知，碳源为淀粉时菌株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不能生长，其原因是______。</w:t>
      </w:r>
    </w:p>
    <w:p w:rsidR="00094878" w14:paraId="23E81B9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（4）若以制糖废液作为碳源，为进一步确定生产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的最适碳源浓度，某同学进行了相关实验。请简要写出实验思路：______。</w:t>
      </w:r>
    </w:p>
    <w:p w:rsidR="00094878" w14:paraId="1A77C68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（5）利用制糖废液生产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可以实验废物利用，其意义是______（答出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点即可）。</w:t>
      </w:r>
    </w:p>
    <w:p w:rsidR="00094878" w14:paraId="0007EBE2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【生物——选修</w:t>
      </w:r>
      <w:r>
        <w:rPr>
          <w:rFonts w:eastAsia="Times New Roman" w:cs="Times New Roman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：现代生物科技专题】</w:t>
      </w:r>
    </w:p>
    <w:p w:rsidR="00094878" w14:paraId="4AF0F17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新冠疫情出现后，病毒核酸检测和疫苗接种在疫情防控中发挥了重要作用。回答下列问题。</w:t>
      </w:r>
    </w:p>
    <w:p w:rsidR="00094878" w14:paraId="186CADE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（1）新冠病毒是一种</w:t>
      </w:r>
      <w:r>
        <w:rPr>
          <w:rFonts w:eastAsia="Times New Roman" w:cs="Times New Roman"/>
          <w:color w:val="000000"/>
        </w:rPr>
        <w:t>RNA</w:t>
      </w:r>
      <w:r>
        <w:rPr>
          <w:rFonts w:ascii="宋体" w:hAnsi="宋体"/>
          <w:color w:val="000000"/>
        </w:rPr>
        <w:t>病毒，检测新冠病毒</w:t>
      </w:r>
      <w:r>
        <w:rPr>
          <w:rFonts w:eastAsia="Times New Roman" w:cs="Times New Roman"/>
          <w:color w:val="000000"/>
        </w:rPr>
        <w:t>RNA</w:t>
      </w:r>
      <w:r>
        <w:rPr>
          <w:rFonts w:ascii="宋体" w:hAnsi="宋体"/>
          <w:color w:val="000000"/>
        </w:rPr>
        <w:t>（核酸检测）可以采取</w:t>
      </w:r>
      <w:r>
        <w:rPr>
          <w:rFonts w:eastAsia="Times New Roman" w:cs="Times New Roman"/>
          <w:color w:val="000000"/>
        </w:rPr>
        <w:t>RT-PCR</w:t>
      </w:r>
      <w:r>
        <w:rPr>
          <w:rFonts w:ascii="宋体" w:hAnsi="宋体"/>
          <w:color w:val="000000"/>
        </w:rPr>
        <w:t>法。这种方法的基本原理是先以病毒</w:t>
      </w:r>
      <w:r>
        <w:rPr>
          <w:rFonts w:eastAsia="Times New Roman" w:cs="Times New Roman"/>
          <w:color w:val="000000"/>
        </w:rPr>
        <w:t>RNA</w:t>
      </w:r>
      <w:r>
        <w:rPr>
          <w:rFonts w:ascii="宋体" w:hAnsi="宋体"/>
          <w:color w:val="000000"/>
        </w:rPr>
        <w:t>为模板合成</w:t>
      </w:r>
      <w:r>
        <w:rPr>
          <w:rFonts w:eastAsia="Times New Roman" w:cs="Times New Roman"/>
          <w:color w:val="000000"/>
        </w:rPr>
        <w:t>cDNA</w:t>
      </w:r>
      <w:r>
        <w:rPr>
          <w:rFonts w:ascii="宋体" w:hAnsi="宋体"/>
          <w:color w:val="000000"/>
        </w:rPr>
        <w:t>，这一过程需要的酶是______，再通过</w:t>
      </w:r>
      <w:r>
        <w:rPr>
          <w:rFonts w:eastAsia="Times New Roman" w:cs="Times New Roman"/>
          <w:color w:val="000000"/>
        </w:rPr>
        <w:t>PCR</w:t>
      </w:r>
      <w:r>
        <w:rPr>
          <w:rFonts w:ascii="宋体" w:hAnsi="宋体"/>
          <w:color w:val="000000"/>
        </w:rPr>
        <w:t>技术扩增相应的</w:t>
      </w:r>
      <w:r>
        <w:rPr>
          <w:rFonts w:eastAsia="Times New Roman" w:cs="Times New Roman"/>
          <w:color w:val="000000"/>
        </w:rPr>
        <w:t>DNA</w:t>
      </w:r>
      <w:r>
        <w:rPr>
          <w:rFonts w:ascii="宋体" w:hAnsi="宋体"/>
          <w:color w:val="000000"/>
        </w:rPr>
        <w:t>片段。根据检测结果判断被检测者是否感染新冠病毒。</w:t>
      </w:r>
    </w:p>
    <w:p w:rsidR="00094878" w14:paraId="1C57B96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（2）为了确保新冠病毒核酸检测的准确性，在设计</w:t>
      </w:r>
      <w:r>
        <w:rPr>
          <w:rFonts w:eastAsia="Times New Roman" w:cs="Times New Roman"/>
          <w:color w:val="000000"/>
        </w:rPr>
        <w:t>PCR</w:t>
      </w:r>
      <w:r>
        <w:rPr>
          <w:rFonts w:ascii="宋体" w:hAnsi="宋体"/>
          <w:color w:val="000000"/>
        </w:rPr>
        <w:t>引物时必须依据新冠病毒</w:t>
      </w:r>
      <w:r>
        <w:rPr>
          <w:rFonts w:eastAsia="Times New Roman" w:cs="Times New Roman"/>
          <w:color w:val="000000"/>
        </w:rPr>
        <w:t>RNA</w:t>
      </w:r>
      <w:r>
        <w:rPr>
          <w:rFonts w:ascii="宋体" w:hAnsi="宋体"/>
          <w:color w:val="000000"/>
        </w:rPr>
        <w:t>中的______来进行。</w:t>
      </w:r>
      <w:r>
        <w:rPr>
          <w:rFonts w:eastAsia="Times New Roman" w:cs="Times New Roman"/>
          <w:color w:val="000000"/>
        </w:rPr>
        <w:t>PCR</w:t>
      </w:r>
      <w:r>
        <w:rPr>
          <w:rFonts w:ascii="宋体" w:hAnsi="宋体"/>
          <w:color w:val="000000"/>
        </w:rPr>
        <w:t>过程每次循环分为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步，其中温度最低的一步是______。</w:t>
      </w:r>
    </w:p>
    <w:p w:rsidR="00094878" w14:paraId="6C70796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（3）某人同时进行了新冠病毒核酸检测和抗体检测（检测体内是否有新冠病毒抗体），若核酸检测结果为阴性而抗体检测结果为阳性，说明______（答出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种情况即可）；若核酸检测和抗体检测结果均为阳性，说明______。</w:t>
      </w:r>
    </w:p>
    <w:p w:rsidR="00094878" w14:paraId="31EDA40E" w14:textId="02145AAC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  <w:sectPr w:rsidSect="00C321EB">
          <w:footerReference w:type="default" r:id="rId19"/>
          <w:pgSz w:w="11906" w:h="16838"/>
          <w:pgMar w:top="910" w:right="1080" w:bottom="1440" w:left="1080" w:header="152" w:footer="0" w:gutter="0"/>
          <w:cols w:space="720"/>
          <w:titlePg w:val="0"/>
          <w:docGrid w:type="lines" w:linePitch="312"/>
        </w:sectPr>
      </w:pPr>
      <w:r>
        <w:rPr>
          <w:rFonts w:ascii="宋体" w:hAnsi="宋体"/>
          <w:color w:val="000000"/>
        </w:rPr>
        <w:t>（4）常见的病毒疫苗有灭活疫苗、蛋白疫苗和重组疫苗等。已知某种病毒的特异性蛋白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（具有抗原性）的编码序列（目的基因）。为了制备蛋白疫苗，可以通过基因工程技术获得大量蛋白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。基因工程的基本操作流程是______</w:t>
      </w:r>
    </w:p>
    <w:p w:rsidR="00094878" w14:paraId="04BB85E1" w14:textId="2ACFD468"/>
    <w:sectPr>
      <w:footerReference w:type="default" r:id="rId20"/>
      <w:pgSz w:w="11906" w:h="16838"/>
      <w:pgMar w:top="1440" w:right="1800" w:bottom="1440" w:left="1800" w:header="708" w:footer="708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88702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94878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D097F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7E7572"/>
    <w:rsid w:val="00817391"/>
    <w:rsid w:val="00832EC9"/>
    <w:rsid w:val="008634CD"/>
    <w:rsid w:val="008731FA"/>
    <w:rsid w:val="00880A38"/>
    <w:rsid w:val="00893DD6"/>
    <w:rsid w:val="008D2E94"/>
    <w:rsid w:val="00960CB0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120C9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3AC00590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png" /><Relationship Id="rId11" Type="http://schemas.openxmlformats.org/officeDocument/2006/relationships/oleObject" Target="embeddings/oleObject3.bin" /><Relationship Id="rId12" Type="http://schemas.openxmlformats.org/officeDocument/2006/relationships/oleObject" Target="embeddings/oleObject4.bin" /><Relationship Id="rId13" Type="http://schemas.openxmlformats.org/officeDocument/2006/relationships/oleObject" Target="embeddings/oleObject5.bin" /><Relationship Id="rId14" Type="http://schemas.openxmlformats.org/officeDocument/2006/relationships/oleObject" Target="embeddings/oleObject6.bin" /><Relationship Id="rId15" Type="http://schemas.openxmlformats.org/officeDocument/2006/relationships/image" Target="media/image5.wmf" /><Relationship Id="rId16" Type="http://schemas.openxmlformats.org/officeDocument/2006/relationships/oleObject" Target="embeddings/oleObject7.bin" /><Relationship Id="rId17" Type="http://schemas.openxmlformats.org/officeDocument/2006/relationships/image" Target="media/image6.wmf" /><Relationship Id="rId18" Type="http://schemas.openxmlformats.org/officeDocument/2006/relationships/oleObject" Target="embeddings/oleObject8.bin" /><Relationship Id="rId19" Type="http://schemas.openxmlformats.org/officeDocument/2006/relationships/footer" Target="footer1.xml" /><Relationship Id="rId2" Type="http://schemas.openxmlformats.org/officeDocument/2006/relationships/webSettings" Target="webSettings.xml" /><Relationship Id="rId20" Type="http://schemas.openxmlformats.org/officeDocument/2006/relationships/footer" Target="footer2.xml" /><Relationship Id="rId21" Type="http://schemas.openxmlformats.org/officeDocument/2006/relationships/theme" Target="theme/theme1.xml" /><Relationship Id="rId22" Type="http://schemas.openxmlformats.org/officeDocument/2006/relationships/numbering" Target="numbering.xml" /><Relationship Id="rId23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image" Target="media/image3.wmf" /><Relationship Id="rId8" Type="http://schemas.openxmlformats.org/officeDocument/2006/relationships/oleObject" Target="embeddings/oleObject1.bin" /><Relationship Id="rId9" Type="http://schemas.openxmlformats.org/officeDocument/2006/relationships/oleObject" Target="embeddings/oleObject2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