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11455400</wp:posOffset>
            </wp:positionV>
            <wp:extent cx="368300" cy="279400"/>
            <wp:effectExtent l="0" t="0" r="12700" b="635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年辽宁省普通高等学校招生选择性考试</w:t>
      </w:r>
    </w:p>
    <w:p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生物学</w:t>
      </w:r>
    </w:p>
    <w:p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下列关于硝化细菌的叙述，错误的是（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可以发生基因突变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在核糖体合成蛋白质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可以进行有丝分裂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能以</w:t>
      </w:r>
      <w:r>
        <w:rPr>
          <w:rFonts w:ascii="Times New Roman" w:eastAsia="Times New Roman" w:hAnsi="Times New Roman" w:cs="Times New Roman"/>
          <w:color w:val="auto"/>
        </w:rPr>
        <w:t>CO</w:t>
      </w:r>
      <w:r>
        <w:rPr>
          <w:rFonts w:ascii="Times New Roman" w:eastAsia="Times New Roman" w:hAnsi="Times New Roman" w:cs="Times New Roman"/>
          <w:color w:val="auto"/>
          <w:vertAlign w:val="subscript"/>
        </w:rPr>
        <w:t>2</w:t>
      </w:r>
      <w:r>
        <w:rPr>
          <w:rFonts w:ascii="宋体" w:eastAsia="宋体" w:hAnsi="宋体" w:cs="宋体"/>
          <w:color w:val="auto"/>
        </w:rPr>
        <w:t>作为碳源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“一粥一饭，当思来之不易；半丝半缕，恒念物力维艰”体现了日常生活中减少生态足迹的理念，下列选项中都能减少生态足迹的是（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①光盘行动②自驾旅游③高效农业④桑基鱼塘⑤一次性餐具使用⑥秸秆焚烧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①④⑥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②③⑤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②⑤⑥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下列关于生物进化和生物多样性的叙述，错误的是（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通过杂交育种技术培育出许多水稻新品种，增加了水稻的遗传多样性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人类与黑猩猩基因组序列高度相似，说明人类从黑猩猩进化而来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新物种的形成意味着生物类型和适应方式的增多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生物之间既相互依存又相互制约，生物多样性是协同进化的结果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选用合适的实验材料对生物科学研究至关重要。下表对教材中相关研究的叙述，错误的是（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290"/>
        <w:gridCol w:w="179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实验材料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生物学研究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小球藻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卡尔文循环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肺炎链球菌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  <w:r>
              <w:rPr>
                <w:rFonts w:ascii="宋体" w:eastAsia="宋体" w:hAnsi="宋体" w:cs="宋体"/>
                <w:color w:val="000000"/>
              </w:rPr>
              <w:t>半保留复制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枪乌贼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动作电位原理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T2</w:t>
            </w:r>
            <w:r>
              <w:rPr>
                <w:rFonts w:ascii="宋体" w:eastAsia="宋体" w:hAnsi="宋体" w:cs="宋体"/>
                <w:color w:val="000000"/>
              </w:rPr>
              <w:t>噬菌体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  <w:r>
              <w:rPr>
                <w:rFonts w:ascii="宋体" w:eastAsia="宋体" w:hAnsi="宋体" w:cs="宋体"/>
                <w:color w:val="000000"/>
                <w:position w:val="0"/>
              </w:rPr>
              <w:drawing>
                <wp:inline distT="0" distB="0" distL="114300" distR="114300">
                  <wp:extent cx="132080" cy="167640"/>
                  <wp:effectExtent l="0" t="0" r="1270" b="3175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color w:val="000000"/>
              </w:rPr>
              <w:t>遗传物质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下列关于神经系统结构和功能的叙述，正确的是（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大脑皮层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区病变的人，不能看懂文字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手的运动受大脑皮层中央前回下部的调控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条件反射的消退不需要大脑皮层的参与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紧张、焦虑等可能抑制成人脑中的神经发生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为研究中医名方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柴胡疏肝散对功能性消化不良大鼠胃排空（胃内容物进入小肠）的作用，科研人员设置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组实验，测得大鼠胃排空率见下表。下列叙述错误的是（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2249"/>
        <w:gridCol w:w="167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状态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胃排空率（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%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健康大鼠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55.80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模型组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患病大鼠未给药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38.65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柴胡疏肝散组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患病大鼠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柴胡疏肝散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51.12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药物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患病大鼠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药物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49.92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注：药物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为治疗功能性消化不良的常用药物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与正常组相比，模型组大鼠胃排空率明显降低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正常组能对比反映出给药组大鼠恢复胃排空的程度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与正常组相比，柴胡疏肝散具有促进胃排空的作用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柴胡疏肝散与药物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对患病大鼠促进胃排空的效果相似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下列关于人体免疫系统功能的叙述，错误的是（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抗体能消灭细胞外液中的病原体，细胞毒性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细胞能消灭侵入细胞内的病原体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首次感染新的病原体时，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细胞在辅助性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细胞的辅助下才能被活化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若免疫监视功能低下，机体会有持续的病毒感染或肿瘤发生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“预防”胜于“治疗”，保持机体正常的免疫功能对抵抗疾病非常重要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二甲基亚砜（</w:t>
      </w:r>
      <w:r>
        <w:rPr>
          <w:rFonts w:ascii="Times New Roman" w:eastAsia="Times New Roman" w:hAnsi="Times New Roman" w:cs="Times New Roman"/>
          <w:color w:val="000000"/>
        </w:rPr>
        <w:t>DMSO</w:t>
      </w:r>
      <w:r>
        <w:rPr>
          <w:rFonts w:ascii="宋体" w:eastAsia="宋体" w:hAnsi="宋体" w:cs="宋体"/>
          <w:color w:val="000000"/>
        </w:rPr>
        <w:t>）易与水分子结合，常用作细胞冻存的渗透性保护剂。干细胞冻存复苏后指标检测结果见下表。下列叙述错误的是（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9"/>
        <w:gridCol w:w="2016"/>
        <w:gridCol w:w="255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冻存剂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指标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     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合成培养基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+DMSO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合成培养基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+DMSO+</w:t>
            </w:r>
            <w:r>
              <w:rPr>
                <w:rFonts w:ascii="宋体" w:eastAsia="宋体" w:hAnsi="宋体" w:cs="宋体"/>
                <w:color w:val="000000"/>
              </w:rPr>
              <w:t>血清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期细胞数百分比（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%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65.78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79.85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活细胞数百分比（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%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15.29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41.33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注：细胞分裂间期分为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期、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期（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复制期）和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冻存复苏后的干细胞可以用于治疗人类某些疾病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期细胞数百分比上升，导致更多干细胞直接进入分裂期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血清中的天然成分影响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期，增加干细胞复苏后的活细胞数百分比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DMSO</w:t>
      </w:r>
      <w:r>
        <w:rPr>
          <w:rFonts w:ascii="宋体" w:eastAsia="宋体" w:hAnsi="宋体" w:cs="宋体"/>
          <w:color w:val="000000"/>
        </w:rPr>
        <w:t>的作用是使干细胞中自由水转化为结合水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水通道蛋白（</w:t>
      </w:r>
      <w:r>
        <w:rPr>
          <w:rFonts w:ascii="Times New Roman" w:eastAsia="Times New Roman" w:hAnsi="Times New Roman" w:cs="Times New Roman"/>
          <w:color w:val="000000"/>
        </w:rPr>
        <w:t>AQP</w:t>
      </w:r>
      <w:r>
        <w:rPr>
          <w:rFonts w:ascii="宋体" w:eastAsia="宋体" w:hAnsi="宋体" w:cs="宋体"/>
          <w:color w:val="000000"/>
        </w:rPr>
        <w:t>）是一类细胞膜通道蛋白。检测人睡液腺正常组织和水肿组织中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AQP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含量，发现</w:t>
      </w:r>
      <w:r>
        <w:rPr>
          <w:rFonts w:ascii="Times New Roman" w:eastAsia="Times New Roman" w:hAnsi="Times New Roman" w:cs="Times New Roman"/>
          <w:color w:val="000000"/>
        </w:rPr>
        <w:t>AQP1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AQP3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含量无变化，而水肿组织</w:t>
      </w:r>
      <w:r>
        <w:rPr>
          <w:rFonts w:ascii="Times New Roman" w:eastAsia="Times New Roman" w:hAnsi="Times New Roman" w:cs="Times New Roman"/>
          <w:color w:val="000000"/>
        </w:rPr>
        <w:t>AQP5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含量是正常组织的</w:t>
      </w:r>
      <w:r>
        <w:rPr>
          <w:rFonts w:ascii="Times New Roman" w:eastAsia="Times New Roman" w:hAnsi="Times New Roman" w:cs="Times New Roman"/>
          <w:color w:val="000000"/>
        </w:rPr>
        <w:t>2.5</w:t>
      </w:r>
      <w:r>
        <w:rPr>
          <w:rFonts w:ascii="宋体" w:eastAsia="宋体" w:hAnsi="宋体" w:cs="宋体"/>
          <w:color w:val="000000"/>
        </w:rPr>
        <w:t>倍。下列叙述正确的是（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人唾液腺正常组织细胞中</w:t>
      </w:r>
      <w:r>
        <w:rPr>
          <w:rFonts w:ascii="Times New Roman" w:eastAsia="Times New Roman" w:hAnsi="Times New Roman" w:cs="Times New Roman"/>
          <w:color w:val="000000"/>
        </w:rPr>
        <w:t>AQP</w:t>
      </w:r>
      <w:r>
        <w:rPr>
          <w:rFonts w:ascii="宋体" w:eastAsia="宋体" w:hAnsi="宋体" w:cs="宋体"/>
          <w:color w:val="000000"/>
        </w:rPr>
        <w:t>蛋白的氨基酸序列相同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AQP</w:t>
      </w:r>
      <w:r>
        <w:rPr>
          <w:rFonts w:ascii="宋体" w:eastAsia="宋体" w:hAnsi="宋体" w:cs="宋体"/>
          <w:color w:val="000000"/>
        </w:rPr>
        <w:t>蛋白与水分子可逆结合，转运水进出细胞不需要消耗</w:t>
      </w:r>
      <w:r>
        <w:rPr>
          <w:rFonts w:ascii="Times New Roman" w:eastAsia="Times New Roman" w:hAnsi="Times New Roman" w:cs="Times New Roman"/>
          <w:color w:val="000000"/>
        </w:rPr>
        <w:t>ATP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检测结果表明，只有</w:t>
      </w:r>
      <w:r>
        <w:rPr>
          <w:rFonts w:ascii="Times New Roman" w:eastAsia="Times New Roman" w:hAnsi="Times New Roman" w:cs="Times New Roman"/>
          <w:color w:val="000000"/>
        </w:rPr>
        <w:t>AQP5</w:t>
      </w:r>
      <w:r>
        <w:rPr>
          <w:rFonts w:ascii="宋体" w:eastAsia="宋体" w:hAnsi="宋体" w:cs="宋体"/>
          <w:color w:val="000000"/>
        </w:rPr>
        <w:t>蛋白参与人唾液腺水肿的形成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正常组织与水肿组织的水转运速率不同，与</w:t>
      </w:r>
      <w:r>
        <w:rPr>
          <w:rFonts w:ascii="Times New Roman" w:eastAsia="Times New Roman" w:hAnsi="Times New Roman" w:cs="Times New Roman"/>
          <w:color w:val="000000"/>
        </w:rPr>
        <w:t>AQP</w:t>
      </w:r>
      <w:r>
        <w:rPr>
          <w:rFonts w:ascii="宋体" w:eastAsia="宋体" w:hAnsi="宋体" w:cs="宋体"/>
          <w:color w:val="000000"/>
        </w:rPr>
        <w:t>蛋白的数量有关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亚麻籽可以榨油，茎秆可以生产纤维。在亚麻生长季节，北方比南方日照时间长，亚麻开花与昼夜长短有关，只有白天短于一定的时长才能开花。赤霉素可以促进植物伸长生长，但对亚麻成花没有影响。烯效唑可抑制植物体内赤霉素的合成。下列在黑龙江省栽培亚麻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适当使用烯效唑，以同时生产亚麻籽和亚麻纤维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适当使用赤霉素，以同时生产亚麻籽和亚麻纤维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适当使用赤霉素，以提高亚麻纤维产量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适当使用烯效唑，以提高亚麻籽产量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人工草坪物种比较单一，易受外界因素的影响而杂草化。双子叶植物欧亚蔊菜是常见的草坪杂草。下列叙述错误的是（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采用样方法调查草坪中欧亚蔊菜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种群密度时，随机取样是关键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喷施高浓度的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4-D</w:t>
      </w:r>
      <w:r>
        <w:rPr>
          <w:rFonts w:ascii="宋体" w:eastAsia="宋体" w:hAnsi="宋体" w:cs="宋体"/>
          <w:color w:val="000000"/>
        </w:rPr>
        <w:t>可以杀死草坪中的欧亚蔊菜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欧亚蔊菜入侵人工草坪初期，种群增长曲线呈“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”形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与自然草地相比，人工草坪自我维持结构和功能相对稳定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能力较低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抗虫和耐除草剂玉米双抗</w:t>
      </w:r>
      <w:r>
        <w:rPr>
          <w:rFonts w:ascii="Times New Roman" w:eastAsia="Times New Roman" w:hAnsi="Times New Roman" w:cs="Times New Roman"/>
          <w:color w:val="000000"/>
        </w:rPr>
        <w:t>12-5</w:t>
      </w:r>
      <w:r>
        <w:rPr>
          <w:rFonts w:ascii="宋体" w:eastAsia="宋体" w:hAnsi="宋体" w:cs="宋体"/>
          <w:color w:val="000000"/>
        </w:rPr>
        <w:t>是我国自主研发的转基因品种。为给监管转基因生物安全提供依据，采用</w:t>
      </w:r>
      <w:r>
        <w:rPr>
          <w:rFonts w:ascii="Times New Roman" w:eastAsia="Times New Roman" w:hAnsi="Times New Roman" w:cs="Times New Roman"/>
          <w:color w:val="000000"/>
        </w:rPr>
        <w:t>PC</w:t>
      </w:r>
      <w:r>
        <w:rPr>
          <w:rFonts w:ascii="宋体" w:eastAsia="宋体" w:hAnsi="宋体" w:cs="宋体"/>
          <w:color w:val="000000"/>
        </w:rPr>
        <w:t>方法进行目的基因监测，反应程序如图所示。下列叙述正确的是（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48150" cy="1524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预变性过程可促进模板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边解旋边复制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后延伸过程可使目的基因的扩增更加充分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延伸过程无需引物参与即可完成半保留复制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转基因品种经检测含有目的基因后即可上市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采用样线法（以一定的速度沿样线前进，同时记录样线两侧一定距离内鸟类的种类及数量）对某地城市公园中鸟类多样性进行调查，结果见下表。下列分析不合理的是（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870"/>
        <w:gridCol w:w="1080"/>
        <w:gridCol w:w="1080"/>
        <w:gridCol w:w="108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城市公园类型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植物园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森林公园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湿地公园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山体公园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物种数量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植物园为鸟类提供易地保护的生存空间，一定程度上增加了鸟类物种多样性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森林公园群落结构复杂，能够满足多种鸟类对栖息地的要求，鸟类种类较多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湿地公园为鸟类提供丰富的食物及相对隐蔽的栖息场所，鸟类种类最多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山体公园由于生境碎片化及人类活动频繁的干扰，鸟类物种数量最少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蓝莓细胞富含花青素等多酚类化合物。在蓝莓组织培养过程中，外植体切口处细胞被破坏，多酚类化合物被氧化成褐色醌类化合物，这一过程称为褐变。褐变会引起细胞生长停滞甚至死亡，导致蓝莓组织培养失败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花青素通常存在于蓝莓细胞的液泡中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适当增加培养物转移至新鲜培养基的频率以减少褐变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在培养基中添加合适的抗氧化剂以减少褐变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宜选用蓝莓成熟叶片为材料制备外植体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为避免航天器在执行载人航天任务时出现微生物污染风险，需要对航天器及洁净的组装车间进行环境微生物检测。下列叙述错误的是（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航天器上存在适应营养物质匮乏等环境的极端微生物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细菌形成菌膜粘附于航天器设备表面产生生物腐蚀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在组装车间地面和设备表面采集环境微生物样品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采用平板划线法等分离培养微生物，观察菌落特征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视网膜病变是糖尿病常见并发症之一。高血糖环境中，在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甲基转移酶催化下，部分胞嘧啶加上活化的甲基被修饰为</w:t>
      </w:r>
      <w:r>
        <w:rPr>
          <w:rFonts w:ascii="Times New Roman" w:eastAsia="Times New Roman" w:hAnsi="Times New Roman" w:cs="Times New Roman"/>
          <w:color w:val="000000"/>
        </w:rPr>
        <w:t>5'-</w:t>
      </w:r>
      <w:r>
        <w:rPr>
          <w:rFonts w:ascii="宋体" w:eastAsia="宋体" w:hAnsi="宋体" w:cs="宋体"/>
          <w:color w:val="000000"/>
        </w:rPr>
        <w:t>甲基胞嘧啶，使视网膜细胞线粒体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碱基甲基化水平升高，可引起视网膜细胞线粒体损伤和功能异常。下列叙述正确的是（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线粒体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甲基化水平升高，可抑制相关基因的表达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高血糖环境中，线粒体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在复制时也遵循碱基互补配对原则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高血糖环境引起的甲基化修饰改变了患者线粒体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碱基序列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糖尿病患者线粒体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高甲基化水平可遗传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eastAsia="宋体" w:hAnsi="宋体" w:cs="宋体"/>
          <w:color w:val="000000"/>
        </w:rPr>
        <w:t>通过运铁蛋白与受体结合被输入哺乳动物生长细胞，最终以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形式进入细胞质基质，相关过程如图所示。细胞内若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过多会引发膜脂质过氧化，导致细胞发生铁依赖的程序性死亡，称为铁死亡。下列叙述正确的是（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76725" cy="22860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注：早期内体和晚期内体是溶酶体形成前的结构形式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铁死亡和细胞自噬都受基因调控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运铁蛋白结合与释放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eastAsia="宋体" w:hAnsi="宋体" w:cs="宋体"/>
          <w:color w:val="000000"/>
        </w:rPr>
        <w:t>的环境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细胞膜的脂质过氧化会导致膜流动性降低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运铁蛋白携带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eastAsia="宋体" w:hAnsi="宋体" w:cs="宋体"/>
          <w:color w:val="000000"/>
        </w:rPr>
        <w:t>进入细胞不需要消耗能量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Times New Roman" w:eastAsia="Times New Roman" w:hAnsi="Times New Roman" w:cs="Times New Roman"/>
          <w:color w:val="000000"/>
        </w:rPr>
        <w:t>β-</w:t>
      </w:r>
      <w:r>
        <w:rPr>
          <w:rFonts w:ascii="宋体" w:eastAsia="宋体" w:hAnsi="宋体" w:cs="宋体"/>
          <w:color w:val="000000"/>
        </w:rPr>
        <w:t>苯乙醇是赋予白酒特征风味的物质。从某酒厂采集并筛选到一株产</w:t>
      </w:r>
      <w:r>
        <w:rPr>
          <w:rFonts w:ascii="Times New Roman" w:eastAsia="Times New Roman" w:hAnsi="Times New Roman" w:cs="Times New Roman"/>
          <w:color w:val="000000"/>
        </w:rPr>
        <w:t>β-</w:t>
      </w:r>
      <w:r>
        <w:rPr>
          <w:rFonts w:ascii="宋体" w:eastAsia="宋体" w:hAnsi="宋体" w:cs="宋体"/>
          <w:color w:val="000000"/>
        </w:rPr>
        <w:t>苯乙醇的酵母菌应用于白酒生产。下列叙述正确的是（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所用培养基及接种工具分别采用湿热灭菌和灼烧灭菌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通过配制培养基、灭菌、分离和培养能获得该酵母菌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还需进行发酵实验检测该酵母菌产</w:t>
      </w:r>
      <w:r>
        <w:rPr>
          <w:rFonts w:ascii="Times New Roman" w:eastAsia="Times New Roman" w:hAnsi="Times New Roman" w:cs="Times New Roman"/>
          <w:color w:val="000000"/>
        </w:rPr>
        <w:t>β-</w:t>
      </w:r>
      <w:r>
        <w:rPr>
          <w:rFonts w:ascii="宋体" w:eastAsia="宋体" w:hAnsi="宋体" w:cs="宋体"/>
          <w:color w:val="000000"/>
        </w:rPr>
        <w:t>苯乙醇的能力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该酵母菌的应用有利于白酒新产品的开发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底栖硅藻是河口泥滩潮间带生态系统中的生产者，为底栖动物提供食物。调查分析某河口底栖硅藻群落随季节变化优势种（相对数量占比</w:t>
      </w:r>
      <w:r>
        <w:rPr>
          <w:rFonts w:ascii="Times New Roman" w:eastAsia="Times New Roman" w:hAnsi="Times New Roman" w:cs="Times New Roman"/>
          <w:color w:val="000000"/>
        </w:rPr>
        <w:t>&gt;5%</w:t>
      </w:r>
      <w:r>
        <w:rPr>
          <w:rFonts w:ascii="宋体" w:eastAsia="宋体" w:hAnsi="宋体" w:cs="宋体"/>
          <w:color w:val="000000"/>
        </w:rPr>
        <w:t>）的分布特征，结果如下图。下列叙述错误的是（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57600" cy="21240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注：不同条纹代表不同优势种：空白代表除优势种外的其他底栖硅藻；不同条纹柱高代表每个优势种的相对数量占比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底栖硅藻群落的季节性变化主要体现在优势种的种类和数量变化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影响优势种①从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月数量变化的生物因素包含捕食和竞争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春季和秋季物种丰富度高于夏季，是温度变化影响的结果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底栖硅藻固定的能量是流经河口泥滩潮间带生态系统的总能量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某伴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染色体隐性遗传病的系谱图如下，基因检测发现致病基因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有两种突变形式，记作</w:t>
      </w:r>
      <w:r>
        <w:rPr>
          <w:rFonts w:ascii="Times New Roman" w:eastAsia="Times New Roman" w:hAnsi="Times New Roman" w:cs="Times New Roman"/>
          <w:color w:val="000000"/>
        </w:rPr>
        <w:t>dA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dB</w:t>
      </w:r>
      <w:r>
        <w:rPr>
          <w:rFonts w:ascii="宋体" w:eastAsia="宋体" w:hAnsi="宋体" w:cs="宋体"/>
          <w:color w:val="000000"/>
        </w:rPr>
        <w:t>。Ⅱ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还患有先天性睾丸发育不全综合征（性染色体组成为</w:t>
      </w:r>
      <w:r>
        <w:rPr>
          <w:rFonts w:ascii="Times New Roman" w:eastAsia="Times New Roman" w:hAnsi="Times New Roman" w:cs="Times New Roman"/>
          <w:color w:val="000000"/>
        </w:rPr>
        <w:t>XXY</w:t>
      </w:r>
      <w:r>
        <w:rPr>
          <w:rFonts w:ascii="宋体" w:eastAsia="宋体" w:hAnsi="宋体" w:cs="宋体"/>
          <w:color w:val="000000"/>
        </w:rPr>
        <w:t>）。不考虑新的基因突变和染色体变异，下列分析正确的是（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78610"/>
            <wp:effectExtent l="0" t="0" r="0" b="254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性染色体异常，是因为Ⅰ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减数分裂Ⅱ时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染色体与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染色体不分离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与正常女性婚配，所生子女患有该伴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染色体隐性遗传病的概率是</w:t>
      </w:r>
      <w:r>
        <w:rPr>
          <w:rFonts w:ascii="Times New Roman" w:eastAsia="Times New Roman" w:hAnsi="Times New Roman" w:cs="Times New Roman"/>
          <w:color w:val="000000"/>
        </w:rPr>
        <w:t>1/2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与正常男性婚配，所生儿子患有该伴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染色体隐性遗传病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与正常男性婚配，所生子女不患该伴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染色体隐性遗传病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小熊猫是我国二级重点保护野生动物，其主要分布区年气温一般在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℃之间。测定小熊猫在不同环境温度下静止时的体温、皮肤温度（图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），以及代谢率（即产热速率，图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14575" cy="19431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162175" cy="184785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由图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可见，在环境温度</w:t>
      </w:r>
      <w:r>
        <w:rPr>
          <w:rFonts w:ascii="Times New Roman" w:eastAsia="Times New Roman" w:hAnsi="Times New Roman" w:cs="Times New Roman"/>
          <w:color w:val="000000"/>
        </w:rPr>
        <w:t>0~30</w:t>
      </w:r>
      <w:r>
        <w:rPr>
          <w:rFonts w:ascii="宋体" w:eastAsia="宋体" w:hAnsi="宋体" w:cs="宋体"/>
          <w:color w:val="000000"/>
        </w:rPr>
        <w:t>℃范围内，小熊猫的体温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，皮肤温度随环境温度降低而降低，这是在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调节方式下，平衡产热与散热的结果。皮肤散热的主要方式包括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（答出两点即可）。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中，在环境温度由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℃降至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℃的过程中，小熊猫代谢率下降，其中散热的神经调节路径是：皮肤中的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受到环境低温刺激产生兴奋，兴奋沿传入神经传递到位于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的体温调节中枢，通过中枢的分析、综合，使支配血管的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（填“交感神经”或“副交感神经”）兴奋，引起外周血管收缩，皮肤和四肢血流量减少，以减少散热。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中，当环境温度下降到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℃以下时，从激素调节角度分析小熊猫产热剧增的原因是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通常通过检测尿液中类固醇类激素皮质醇的含量，评估动物园圈养小熊猫的福利情况。皮质醇的分泌是由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轴调节的。使用尿液而不用血液检测皮质醇，是因为血液中的皮质醇可以通过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进入尿液，而且也能避免取血对小熊猫的伤害。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浒苔是形成绿潮的主要藻类。绿潮时浒苔堆积在一起，形成大量的“藻席”，造成生态灾害。为研究浒苔疯长与光合作用的关系，进行如下实验：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Ⅰ．光合色素的提取、分离和含量测定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在“藻席”的上、中、下层分别选取浒苔甲为实验材料，提取、分离色素，发现浒苔甲的光合色素种类与高等植物相同，包括叶绿素和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。在细胞中，这些光合色素分布在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测定三个样品的叶绿素含量，结果见下表。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993"/>
        <w:gridCol w:w="200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样品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叶绿素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mg·g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叶绿素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mg·g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上层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0.123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中层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0.123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下层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0.684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0.453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数据表明，取自“藻席”下层的样品叶绿素含量最高，这是因为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Ⅱ．光合作用关键酶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的粗酶液制备和活性测定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研究发现，浒苔细胞质基质中存在酶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，参与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的转运过程，利于对碳的固定。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粗酶液制备：定时测定光照强度并取一定量的浒苔甲和浒苔乙，制备不同光照强度下样品的粗酶液，流程如图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67250" cy="13525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粗酶液制备过程保持低温，目的是防止酶降解和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。研磨时加入缓冲液的主要作用是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稳定。离心后的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为粗酶液。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活性测定：取一定量的粗酶液加入到酶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活性测试反应液中进行检测，结果如图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91000" cy="20383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中，不考虑其他因素的影响，浒苔甲酶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活性最高时的光照强度为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μmol·m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</w:t>
      </w:r>
      <w:r>
        <w:rPr>
          <w:rFonts w:ascii="Times New Roman" w:eastAsia="Times New Roman" w:hAnsi="Times New Roman" w:cs="Times New Roman"/>
          <w:color w:val="000000"/>
        </w:rPr>
        <w:t>·s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eastAsia="宋体" w:hAnsi="宋体" w:cs="宋体"/>
          <w:color w:val="000000"/>
        </w:rPr>
        <w:t>（填具体数字），强光照会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浒苔乙酶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的活性。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碳达峰和碳中和目标的提出是构建人类命运共同体的时代要求，增加碳存储是实现碳中和的重要举措。被海洋捕获的碳称为蓝碳，滨海湿地是海岸带蓝碳生态系统的主体。回答下列问题：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碳存储离不开碳循环。生态系统碳循环是指组成生物体的碳元素在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之间循环往复的过程。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滨海湿地单位面积的碳埋藏速率是陆地生态系统的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倍，主要原因是湿地中饱和水环境使土壤微生物处于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条件，导致土壤有机质分解速率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为促进受损湿地的次生演替，提高湿地蓝碳储量，辽宁省实施“退养还湿”生态修复工程（如图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）。该工程应遵循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（答出两点即可）生态学基本原理，根据物种在湿地群落中的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差异，适时补种适宜的物种，以加快群落演替速度。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76825" cy="8001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测定盐沼湿地不同植物群落的碳储量，发现翅碱蓬阶段为</w:t>
      </w:r>
      <w:r>
        <w:rPr>
          <w:rFonts w:ascii="Times New Roman" w:eastAsia="Times New Roman" w:hAnsi="Times New Roman" w:cs="Times New Roman"/>
          <w:color w:val="000000"/>
        </w:rPr>
        <w:t>180.5kg·hm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</w:t>
      </w:r>
      <w:r>
        <w:rPr>
          <w:rFonts w:ascii="宋体" w:eastAsia="宋体" w:hAnsi="宋体" w:cs="宋体"/>
          <w:color w:val="000000"/>
        </w:rPr>
        <w:t>、芦苇阶段为</w:t>
      </w:r>
      <w:r>
        <w:rPr>
          <w:rFonts w:ascii="Times New Roman" w:eastAsia="Times New Roman" w:hAnsi="Times New Roman" w:cs="Times New Roman"/>
          <w:color w:val="000000"/>
        </w:rPr>
        <w:t>3367.2kg·hm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</w:t>
      </w:r>
      <w:r>
        <w:rPr>
          <w:rFonts w:ascii="宋体" w:eastAsia="宋体" w:hAnsi="宋体" w:cs="宋体"/>
          <w:color w:val="000000"/>
        </w:rPr>
        <w:t>，说明在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的不同阶段，盐沼湿地植被的碳储量差异很大。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是盐沼湿地中两种主要植物翅碱蓬、芦苇的示意图。据图分析可知，对促进海岸滩涂淤积，增加盐沼湿地面积贡献度高的植物是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，原因是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90750" cy="176212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某抗膜蛋白治疗性抗体药物研发过程中，需要表达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蛋白胞外段，制备相应的单克隆抗体，增加其对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蛋白胞外段特异性结合的能力。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Ⅰ．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蛋白胞外段抗原制备，流程如图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798195"/>
            <wp:effectExtent l="0" t="0" r="0" b="190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构建重组慢病毒质粒时，选用氨苄青霉素抗性基因作为标记基因，目的是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。用脂质体将重组慢病毒质粒与辅助质粒导入病毒包装细胞，质粒被包在脂质体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（填“双分子层中”或“两层磷脂分子之间”）。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质粒在包装细胞内组装出由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组成的慢病毒，用慢病毒感染海拉细胞进而表达并分离、纯化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Ⅱ．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蛋白胞外段单克隆抗体制备，流程如图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29150" cy="14668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蛋白胞外段作为抗原对小鼠进行免疫后，取小鼠脾组织用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酶处理，制成细胞悬液，置于含有混合气体的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中培养，离心收集小鼠的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淋巴细胞，与骨髓瘤细胞进行融合。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用选择性培养基对融合后的细胞进行筛选，获得杂交瘤细胞，将其接种到</w:t>
      </w:r>
      <w:r>
        <w:rPr>
          <w:rFonts w:ascii="Times New Roman" w:eastAsia="Times New Roman" w:hAnsi="Times New Roman" w:cs="Times New Roman"/>
          <w:color w:val="000000"/>
        </w:rPr>
        <w:t>96</w:t>
      </w:r>
      <w:r>
        <w:rPr>
          <w:rFonts w:ascii="宋体" w:eastAsia="宋体" w:hAnsi="宋体" w:cs="宋体"/>
          <w:color w:val="000000"/>
        </w:rPr>
        <w:t>孔板，进行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培养。用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技术检测每孔中的抗体，筛选既能产生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蛋白胞外段抗体，又能大量增殖的单克隆杂交瘤细胞株，经体外扩大培养，收集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，提取单克隆抗体。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利用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蛋白胞外段抗体与药物结合，形成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，实现特异性治疗。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某雌雄同株二倍体观赏花卉的抗软腐病与易感软腐病（以下简称“抗病”与“易感病”）由基因</w:t>
      </w:r>
      <w:r>
        <w:rPr>
          <w:rFonts w:ascii="Times New Roman" w:eastAsia="Times New Roman" w:hAnsi="Times New Roman" w:cs="Times New Roman"/>
          <w:color w:val="000000"/>
        </w:rPr>
        <w:t>R/r</w:t>
      </w:r>
      <w:r>
        <w:rPr>
          <w:rFonts w:ascii="宋体" w:eastAsia="宋体" w:hAnsi="宋体" w:cs="宋体"/>
          <w:color w:val="000000"/>
        </w:rPr>
        <w:t>控制，花瓣的斑点与非斑点由基因</w:t>
      </w:r>
      <w:r>
        <w:rPr>
          <w:rFonts w:ascii="Times New Roman" w:eastAsia="Times New Roman" w:hAnsi="Times New Roman" w:cs="Times New Roman"/>
          <w:color w:val="000000"/>
        </w:rPr>
        <w:t>Y/y</w:t>
      </w:r>
      <w:r>
        <w:rPr>
          <w:rFonts w:ascii="宋体" w:eastAsia="宋体" w:hAnsi="宋体" w:cs="宋体"/>
          <w:color w:val="000000"/>
        </w:rPr>
        <w:t>控制。为研究这两对相对性状的遗传特点，进行系列杂交实验，结果见下表。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2669"/>
        <w:gridCol w:w="1290"/>
        <w:gridCol w:w="1080"/>
        <w:gridCol w:w="1500"/>
        <w:gridCol w:w="129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组别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亲本杂交组合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表型及数量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抗病非斑点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易感病非斑点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易感病斑点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抗病非斑点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×</w:t>
            </w:r>
            <w:r>
              <w:rPr>
                <w:rFonts w:ascii="宋体" w:eastAsia="宋体" w:hAnsi="宋体" w:cs="宋体"/>
                <w:color w:val="000000"/>
              </w:rPr>
              <w:t>易感病非斑点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抗病非斑点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×</w:t>
            </w:r>
            <w:r>
              <w:rPr>
                <w:rFonts w:ascii="宋体" w:eastAsia="宋体" w:hAnsi="宋体" w:cs="宋体"/>
                <w:color w:val="000000"/>
              </w:rPr>
              <w:t>易感病斑点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抗病斑点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×</w:t>
            </w:r>
            <w:r>
              <w:rPr>
                <w:rFonts w:ascii="宋体" w:eastAsia="宋体" w:hAnsi="宋体" w:cs="宋体"/>
                <w:color w:val="000000"/>
              </w:rPr>
              <w:t>易感病非斑点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抗病非斑点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×</w:t>
            </w:r>
            <w:r>
              <w:rPr>
                <w:rFonts w:ascii="宋体" w:eastAsia="宋体" w:hAnsi="宋体" w:cs="宋体"/>
                <w:color w:val="000000"/>
              </w:rPr>
              <w:t>易感病斑点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上表杂交组合中，第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组亲本的基因型是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组的结果能验证这两对相对性状中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的遗传符合分离定律，能验证这两对相对性状的遗传符合自由组合定律的一组实验是第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组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中的抗病非斑点植株与第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组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中的易感病非斑点植株杂交，后代中抗病非斑点、易感病非斑点、抗病斑点、易感病斑点的比例为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用秋水仙素处理该花卉，获得了四倍体植株。秋水仙素的作用机理是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。现有一基因型为</w:t>
      </w:r>
      <w:r>
        <w:rPr>
          <w:rFonts w:ascii="Times New Roman" w:eastAsia="Times New Roman" w:hAnsi="Times New Roman" w:cs="Times New Roman"/>
          <w:color w:val="000000"/>
        </w:rPr>
        <w:t>YYyy</w:t>
      </w:r>
      <w:r>
        <w:rPr>
          <w:rFonts w:ascii="宋体" w:eastAsia="宋体" w:hAnsi="宋体" w:cs="宋体"/>
          <w:color w:val="000000"/>
        </w:rPr>
        <w:t>的四倍体植株，若减数分裂过程中四条同源染色体两两分离（不考虑其他变异），则产生的配子类型及比例分别为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，其自交后代共有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种基因型。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1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射线对该花卉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基因的显性纯合子进行诱变，当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基因突变为隐性基因后，四倍体中隐性性状的出现频率较二倍体更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bookmarkStart w:id="0" w:name="_GoBack"/>
      <w:bookmarkEnd w:id="0"/>
    </w:p>
    <w:sectPr>
      <w:footerReference w:type="default" r:id="rId22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62645DE"/>
    <w:rsid w:val="38274566"/>
    <w:rsid w:val="5B58447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wmf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