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5DC81" w14:textId="60736E22" w:rsidR="00DE648B" w:rsidRDefault="006758C8">
      <w:pPr>
        <w:rPr>
          <w:b/>
          <w:bCs/>
        </w:rPr>
      </w:pPr>
      <w:r w:rsidRPr="004C20C5">
        <w:rPr>
          <w:b/>
          <w:bCs/>
        </w:rPr>
        <w:t>Recommendation</w:t>
      </w:r>
    </w:p>
    <w:p w14:paraId="6636DD33" w14:textId="06D6EB53" w:rsidR="001B0A38" w:rsidRDefault="00B731AD">
      <w:r w:rsidRPr="00B731AD">
        <w:t>A short position on Tesla over the next 6-12 months</w:t>
      </w:r>
      <w:r w:rsidR="00794C3C">
        <w:t xml:space="preserve">, with a price target of </w:t>
      </w:r>
      <w:r w:rsidR="00842427">
        <w:t>$</w:t>
      </w:r>
      <w:r w:rsidR="004E7E50">
        <w:t xml:space="preserve">180 </w:t>
      </w:r>
      <w:r w:rsidR="00D8624B">
        <w:t xml:space="preserve">which represents around a </w:t>
      </w:r>
      <w:r w:rsidR="004E7E50">
        <w:t>42</w:t>
      </w:r>
      <w:r w:rsidR="00D8624B">
        <w:t>% downside compared to its price of</w:t>
      </w:r>
      <w:r w:rsidR="00A670C1">
        <w:t xml:space="preserve"> $308.27 (31/7/2025).</w:t>
      </w:r>
      <w:r w:rsidR="00E46A9C">
        <w:t xml:space="preserve"> </w:t>
      </w:r>
      <w:r w:rsidR="00F5373A">
        <w:t>The stock trades at excessively high multiples driven my overoptimistic expectations around autonomy and Elon Musk’s influence.</w:t>
      </w:r>
    </w:p>
    <w:p w14:paraId="6BD520FA" w14:textId="1C974D85" w:rsidR="004C20C5" w:rsidRDefault="00970996">
      <w:pPr>
        <w:rPr>
          <w:b/>
          <w:bCs/>
        </w:rPr>
      </w:pPr>
      <w:r w:rsidRPr="00970996">
        <w:rPr>
          <w:b/>
          <w:bCs/>
        </w:rPr>
        <w:t xml:space="preserve">Company Background </w:t>
      </w:r>
    </w:p>
    <w:p w14:paraId="3A4EF583" w14:textId="1B21BC7B" w:rsidR="00BF4BA5" w:rsidRDefault="00BF4BA5">
      <w:r w:rsidRPr="00200359">
        <w:t>Design</w:t>
      </w:r>
      <w:r w:rsidR="00EE3C66" w:rsidRPr="00200359">
        <w:t>s, manufactures and sells electric vehicles, energy storage systems and solar energy products.</w:t>
      </w:r>
      <w:r w:rsidR="00200359">
        <w:t xml:space="preserve"> Operates across a few key segments: </w:t>
      </w:r>
    </w:p>
    <w:p w14:paraId="0FCAB4A5" w14:textId="0DA7BF78" w:rsidR="00200359" w:rsidRDefault="00200359" w:rsidP="00200359">
      <w:pPr>
        <w:pStyle w:val="ListParagraph"/>
        <w:numPr>
          <w:ilvl w:val="0"/>
          <w:numId w:val="1"/>
        </w:numPr>
      </w:pPr>
      <w:r w:rsidRPr="00321CDD">
        <w:rPr>
          <w:b/>
          <w:bCs/>
        </w:rPr>
        <w:t>Automotive:</w:t>
      </w:r>
      <w:r>
        <w:t xml:space="preserve"> </w:t>
      </w:r>
      <w:r w:rsidR="00321CDD">
        <w:t xml:space="preserve">Model S/3/X/Y, Cybertruck and next gen platforms. </w:t>
      </w:r>
    </w:p>
    <w:p w14:paraId="1770B0FC" w14:textId="178FA0DD" w:rsidR="00321CDD" w:rsidRDefault="00321CDD" w:rsidP="00200359">
      <w:pPr>
        <w:pStyle w:val="ListParagraph"/>
        <w:numPr>
          <w:ilvl w:val="0"/>
          <w:numId w:val="1"/>
        </w:numPr>
      </w:pPr>
      <w:r>
        <w:rPr>
          <w:b/>
          <w:bCs/>
        </w:rPr>
        <w:t>Energy &amp; Storage:</w:t>
      </w:r>
      <w:r>
        <w:t xml:space="preserve"> Powerwall</w:t>
      </w:r>
      <w:r w:rsidR="00CB6CBE">
        <w:t>, Megapack installations</w:t>
      </w:r>
      <w:r w:rsidR="00EE5C01">
        <w:t>.</w:t>
      </w:r>
    </w:p>
    <w:p w14:paraId="5C95F140" w14:textId="77777777" w:rsidR="00A7489A" w:rsidRDefault="007E7E8C" w:rsidP="00A7489A">
      <w:pPr>
        <w:pStyle w:val="ListParagraph"/>
        <w:numPr>
          <w:ilvl w:val="0"/>
          <w:numId w:val="1"/>
        </w:numPr>
      </w:pPr>
      <w:r>
        <w:rPr>
          <w:b/>
          <w:bCs/>
        </w:rPr>
        <w:t>Autonomy/Robotaxi services:</w:t>
      </w:r>
      <w:r>
        <w:t xml:space="preserve"> Full self-driving (not fully out yet), </w:t>
      </w:r>
      <w:r w:rsidR="0043753D">
        <w:t>Pilot Robotaxi (launched in Austin in June 2025)</w:t>
      </w:r>
      <w:r w:rsidR="00EE5C01">
        <w:t>.</w:t>
      </w:r>
    </w:p>
    <w:p w14:paraId="20AC818B" w14:textId="719D83CF" w:rsidR="00A7489A" w:rsidRDefault="00A7489A" w:rsidP="00A7489A">
      <w:r>
        <w:t>Key financials</w:t>
      </w:r>
      <w:r w:rsidR="003E05C7">
        <w:t xml:space="preserve"> (2025 so far)</w:t>
      </w:r>
      <w:r>
        <w:t xml:space="preserve">: </w:t>
      </w:r>
    </w:p>
    <w:p w14:paraId="56A9AC07" w14:textId="41494CF5" w:rsidR="00A7489A" w:rsidRDefault="00C64800" w:rsidP="00A7489A">
      <w:pPr>
        <w:pStyle w:val="ListParagraph"/>
        <w:numPr>
          <w:ilvl w:val="0"/>
          <w:numId w:val="2"/>
        </w:numPr>
      </w:pPr>
      <w:r w:rsidRPr="00C64800">
        <w:rPr>
          <w:b/>
          <w:bCs/>
        </w:rPr>
        <w:t>EV/EBITDA:</w:t>
      </w:r>
      <w:r>
        <w:t xml:space="preserve"> 70X vs industry 35x</w:t>
      </w:r>
    </w:p>
    <w:p w14:paraId="07EB5DE8" w14:textId="533BD9F8" w:rsidR="00CA0531" w:rsidRDefault="00CA0531" w:rsidP="00A7489A">
      <w:pPr>
        <w:pStyle w:val="ListParagraph"/>
        <w:numPr>
          <w:ilvl w:val="0"/>
          <w:numId w:val="2"/>
        </w:numPr>
      </w:pPr>
      <w:r>
        <w:rPr>
          <w:b/>
          <w:bCs/>
        </w:rPr>
        <w:t>Delivery decline:</w:t>
      </w:r>
      <w:r>
        <w:t xml:space="preserve"> 13% YoY in Q1-Q2 2025</w:t>
      </w:r>
    </w:p>
    <w:p w14:paraId="514D5C45" w14:textId="57A037FC" w:rsidR="00950128" w:rsidRDefault="00FB3BC4" w:rsidP="00A7489A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Q2 2025 Earnings: </w:t>
      </w:r>
      <w:r w:rsidR="00C619BA">
        <w:rPr>
          <w:b/>
          <w:bCs/>
        </w:rPr>
        <w:t xml:space="preserve">Total revenue </w:t>
      </w:r>
      <w:r w:rsidR="00C619BA" w:rsidRPr="00402CE1">
        <w:t>declined 12% YoY</w:t>
      </w:r>
      <w:r w:rsidR="00402CE1">
        <w:rPr>
          <w:b/>
          <w:bCs/>
        </w:rPr>
        <w:t xml:space="preserve"> </w:t>
      </w:r>
      <w:r w:rsidR="00402CE1" w:rsidRPr="00402CE1">
        <w:t>to $22.</w:t>
      </w:r>
      <w:r w:rsidR="00402CE1">
        <w:t>5B,</w:t>
      </w:r>
      <w:r w:rsidR="004F6269">
        <w:t xml:space="preserve"> </w:t>
      </w:r>
      <w:r w:rsidR="004F6269" w:rsidRPr="00FB3BC4">
        <w:rPr>
          <w:b/>
          <w:bCs/>
        </w:rPr>
        <w:t>Operating income</w:t>
      </w:r>
      <w:r w:rsidR="004F6269">
        <w:t xml:space="preserve"> fell 42% YoY to </w:t>
      </w:r>
      <w:r>
        <w:t xml:space="preserve">$0.40, </w:t>
      </w:r>
      <w:r w:rsidRPr="007C474A">
        <w:rPr>
          <w:b/>
          <w:bCs/>
        </w:rPr>
        <w:t>Adjusted EPS</w:t>
      </w:r>
      <w:r w:rsidR="007C474A">
        <w:t xml:space="preserve"> fell 23% YoY to approximately $0.40</w:t>
      </w:r>
    </w:p>
    <w:p w14:paraId="69EBD442" w14:textId="4240E044" w:rsidR="002D0548" w:rsidRDefault="002D0548" w:rsidP="00EE5C01">
      <w:pPr>
        <w:rPr>
          <w:b/>
          <w:bCs/>
        </w:rPr>
      </w:pPr>
      <w:r w:rsidRPr="00EE5C01">
        <w:rPr>
          <w:b/>
          <w:bCs/>
        </w:rPr>
        <w:t>Investment Thesis</w:t>
      </w:r>
    </w:p>
    <w:p w14:paraId="6C79C795" w14:textId="5A59BD03" w:rsidR="007C474A" w:rsidRDefault="00186EE3" w:rsidP="00186EE3">
      <w:pPr>
        <w:pStyle w:val="ListParagraph"/>
        <w:numPr>
          <w:ilvl w:val="0"/>
          <w:numId w:val="3"/>
        </w:numPr>
      </w:pPr>
      <w:r w:rsidRPr="00186EE3">
        <w:rPr>
          <w:b/>
          <w:bCs/>
        </w:rPr>
        <w:t xml:space="preserve">Tesla’s extraordinary valuation ignores execution risks: </w:t>
      </w:r>
      <w:r w:rsidR="00C27153" w:rsidRPr="00C27153">
        <w:t>With a P/E of 163× and EV/EBITDA near 70×, Tesla is priced like a high-growth AI giant despite delivering just ~15% automotive growth in H1</w:t>
      </w:r>
      <w:r w:rsidR="00C27153">
        <w:t>(first half)</w:t>
      </w:r>
      <w:r w:rsidR="00C27153" w:rsidRPr="00C27153">
        <w:t xml:space="preserve"> 2025 and margin pressure from price cuts</w:t>
      </w:r>
      <w:r w:rsidR="00C27153">
        <w:t>.</w:t>
      </w:r>
    </w:p>
    <w:p w14:paraId="1CD2970F" w14:textId="2A9BEF67" w:rsidR="00C27153" w:rsidRPr="00C27153" w:rsidRDefault="00C27153" w:rsidP="00186EE3">
      <w:pPr>
        <w:pStyle w:val="ListParagraph"/>
        <w:numPr>
          <w:ilvl w:val="0"/>
          <w:numId w:val="3"/>
        </w:numPr>
      </w:pPr>
      <w:r>
        <w:rPr>
          <w:b/>
          <w:bCs/>
        </w:rPr>
        <w:t>Investor hype around a</w:t>
      </w:r>
      <w:r w:rsidR="0041576C">
        <w:rPr>
          <w:b/>
          <w:bCs/>
        </w:rPr>
        <w:t xml:space="preserve">utomation is </w:t>
      </w:r>
      <w:r w:rsidR="006C1471">
        <w:rPr>
          <w:b/>
          <w:bCs/>
        </w:rPr>
        <w:t>overblown</w:t>
      </w:r>
      <w:r w:rsidR="0041576C">
        <w:t xml:space="preserve"> Robotaxi launched in Austin </w:t>
      </w:r>
      <w:r w:rsidR="005502F5">
        <w:t xml:space="preserve">(June 2025) with limited usage and notable incidents (hundreds of crashes involving Tesla’s drive assist systems) </w:t>
      </w:r>
      <w:r w:rsidR="006C1471">
        <w:t xml:space="preserve">have </w:t>
      </w:r>
      <w:r w:rsidR="009E4680">
        <w:t>led</w:t>
      </w:r>
      <w:r w:rsidR="006C1471">
        <w:t xml:space="preserve"> to investigations from US safety regulators. Hype around autonomy is overshadowing persistent scepticism around delivery scale, timeline and software reliability.</w:t>
      </w:r>
    </w:p>
    <w:p w14:paraId="734A2809" w14:textId="5C4E4F3C" w:rsidR="002D0548" w:rsidRDefault="002D0548">
      <w:pPr>
        <w:rPr>
          <w:b/>
          <w:bCs/>
        </w:rPr>
      </w:pPr>
      <w:r>
        <w:rPr>
          <w:b/>
          <w:bCs/>
        </w:rPr>
        <w:t>Catalysts</w:t>
      </w:r>
    </w:p>
    <w:p w14:paraId="57291CDB" w14:textId="6BB9794B" w:rsidR="006C1471" w:rsidRDefault="006C1471" w:rsidP="006C1471">
      <w:pPr>
        <w:pStyle w:val="ListParagraph"/>
        <w:numPr>
          <w:ilvl w:val="0"/>
          <w:numId w:val="4"/>
        </w:numPr>
      </w:pPr>
      <w:r>
        <w:rPr>
          <w:b/>
          <w:bCs/>
        </w:rPr>
        <w:t>Robot</w:t>
      </w:r>
      <w:r w:rsidR="009A42D1">
        <w:rPr>
          <w:b/>
          <w:bCs/>
        </w:rPr>
        <w:t>axi regulatory setbacks or fallout from a major incident</w:t>
      </w:r>
      <w:r w:rsidR="00E93906">
        <w:rPr>
          <w:b/>
          <w:bCs/>
        </w:rPr>
        <w:t xml:space="preserve">: </w:t>
      </w:r>
      <w:r w:rsidR="00E93906" w:rsidRPr="00E93906">
        <w:t>Any safety breaches or regulatory penalties in Austin could puncture investor optimism around autonomy.</w:t>
      </w:r>
    </w:p>
    <w:p w14:paraId="60CDAB6A" w14:textId="77777777" w:rsidR="009E17DF" w:rsidRPr="009E17DF" w:rsidRDefault="00E93906" w:rsidP="009E17DF">
      <w:pPr>
        <w:pStyle w:val="ListParagraph"/>
        <w:numPr>
          <w:ilvl w:val="0"/>
          <w:numId w:val="4"/>
        </w:numPr>
      </w:pPr>
      <w:r>
        <w:rPr>
          <w:b/>
          <w:bCs/>
        </w:rPr>
        <w:t>Q3/Q4 Earnings miss:</w:t>
      </w:r>
      <w:r>
        <w:t xml:space="preserve"> </w:t>
      </w:r>
      <w:r w:rsidR="009E17DF" w:rsidRPr="009E17DF">
        <w:t>Continued margin blows from tariffs, weakened China sales, and price cuts may lead to guidance adjustments and analyst downgrades.</w:t>
      </w:r>
    </w:p>
    <w:p w14:paraId="38501BA1" w14:textId="4D35F499" w:rsidR="00E93906" w:rsidRPr="00E93906" w:rsidRDefault="00E93906" w:rsidP="009E17DF">
      <w:pPr>
        <w:ind w:left="360"/>
      </w:pPr>
    </w:p>
    <w:p w14:paraId="6AF2BF34" w14:textId="011E7FC7" w:rsidR="002D0548" w:rsidRDefault="002D0548">
      <w:pPr>
        <w:rPr>
          <w:b/>
          <w:bCs/>
        </w:rPr>
      </w:pPr>
      <w:r>
        <w:rPr>
          <w:b/>
          <w:bCs/>
        </w:rPr>
        <w:lastRenderedPageBreak/>
        <w:t>Valuation</w:t>
      </w:r>
    </w:p>
    <w:p w14:paraId="224D38FF" w14:textId="75A3D0D5" w:rsidR="009E17DF" w:rsidRPr="009E6C2C" w:rsidRDefault="009E17DF">
      <w:r w:rsidRPr="009E6C2C">
        <w:t xml:space="preserve">Using a </w:t>
      </w:r>
      <w:r w:rsidR="00AE1F3C">
        <w:t>7.4%</w:t>
      </w:r>
      <w:r w:rsidRPr="009E6C2C">
        <w:t xml:space="preserve"> WACC</w:t>
      </w:r>
      <w:r w:rsidR="00AE1F3C">
        <w:t xml:space="preserve"> and 4% long term growth rate </w:t>
      </w:r>
      <w:r w:rsidRPr="009E6C2C">
        <w:t>,</w:t>
      </w:r>
      <w:r w:rsidR="009E6C2C" w:rsidRPr="009E6C2C">
        <w:t xml:space="preserve"> DCF implies fair value =</w:t>
      </w:r>
      <w:r w:rsidR="00707E31">
        <w:t xml:space="preserve"> 179.32%</w:t>
      </w:r>
      <w:r w:rsidR="009E6C2C" w:rsidRPr="009E6C2C">
        <w:t xml:space="preserve"> per share.</w:t>
      </w:r>
    </w:p>
    <w:p w14:paraId="75EF51DD" w14:textId="02773912" w:rsidR="009E6C2C" w:rsidRPr="009E6C2C" w:rsidRDefault="009E6C2C">
      <w:r w:rsidRPr="009E6C2C">
        <w:t xml:space="preserve">Despite slower growth in Q2, Tesla trades dramatically higher than peers. Applying even a conservative </w:t>
      </w:r>
      <w:r w:rsidRPr="009E6C2C">
        <w:rPr>
          <w:rStyle w:val="Strong"/>
          <w:b w:val="0"/>
          <w:bCs w:val="0"/>
        </w:rPr>
        <w:t>30× EV/EBITDA</w:t>
      </w:r>
      <w:r w:rsidRPr="009E6C2C">
        <w:t xml:space="preserve"> multiple would value Tesla well below </w:t>
      </w:r>
      <w:r w:rsidRPr="009E6C2C">
        <w:rPr>
          <w:rStyle w:val="Strong"/>
          <w:b w:val="0"/>
          <w:bCs w:val="0"/>
        </w:rPr>
        <w:t>$200</w:t>
      </w:r>
      <w:r w:rsidRPr="009E6C2C">
        <w:t>.</w:t>
      </w:r>
    </w:p>
    <w:p w14:paraId="5A20F502" w14:textId="77777777" w:rsidR="00112B2B" w:rsidRDefault="002D0548" w:rsidP="00112B2B">
      <w:pPr>
        <w:rPr>
          <w:b/>
          <w:bCs/>
        </w:rPr>
      </w:pPr>
      <w:r>
        <w:rPr>
          <w:b/>
          <w:bCs/>
        </w:rPr>
        <w:t>Risk</w:t>
      </w:r>
      <w:r w:rsidR="00112B2B">
        <w:rPr>
          <w:b/>
          <w:bCs/>
        </w:rPr>
        <w:t>s &amp; Mitigation</w:t>
      </w:r>
    </w:p>
    <w:p w14:paraId="0D0A9F62" w14:textId="691A2AD3" w:rsidR="000D51DB" w:rsidRPr="000E565C" w:rsidRDefault="00112B2B" w:rsidP="000D51DB">
      <w:pPr>
        <w:pStyle w:val="ListParagraph"/>
        <w:numPr>
          <w:ilvl w:val="0"/>
          <w:numId w:val="10"/>
        </w:numPr>
      </w:pPr>
      <w:r w:rsidRPr="00112B2B">
        <w:rPr>
          <w:b/>
          <w:bCs/>
        </w:rPr>
        <w:t xml:space="preserve"> Risk</w:t>
      </w:r>
      <w:r>
        <w:rPr>
          <w:b/>
          <w:bCs/>
        </w:rPr>
        <w:t xml:space="preserve"> (1)</w:t>
      </w:r>
      <w:r w:rsidRPr="00112B2B">
        <w:rPr>
          <w:b/>
          <w:bCs/>
        </w:rPr>
        <w:t xml:space="preserve">: </w:t>
      </w:r>
      <w:r w:rsidR="000E565C" w:rsidRPr="000E565C">
        <w:t>Breakthrough</w:t>
      </w:r>
      <w:r w:rsidRPr="000E565C">
        <w:t xml:space="preserve"> or regulatory clearance for FSD/Robotaxi could validate future growth</w:t>
      </w:r>
      <w:r w:rsidR="00F04423">
        <w:t>.</w:t>
      </w:r>
    </w:p>
    <w:p w14:paraId="5BA159C5" w14:textId="293FFF19" w:rsidR="00112B2B" w:rsidRDefault="00112B2B" w:rsidP="000D51DB">
      <w:pPr>
        <w:pStyle w:val="ListParagraph"/>
        <w:numPr>
          <w:ilvl w:val="0"/>
          <w:numId w:val="10"/>
        </w:numPr>
      </w:pPr>
      <w:r>
        <w:rPr>
          <w:b/>
          <w:bCs/>
        </w:rPr>
        <w:t>Mitigation (</w:t>
      </w:r>
      <w:r w:rsidR="00402F56">
        <w:rPr>
          <w:b/>
          <w:bCs/>
        </w:rPr>
        <w:t>1</w:t>
      </w:r>
      <w:r>
        <w:rPr>
          <w:b/>
          <w:bCs/>
        </w:rPr>
        <w:t xml:space="preserve">): </w:t>
      </w:r>
      <w:r w:rsidR="00402F56" w:rsidRPr="00A166AE">
        <w:t xml:space="preserve">hedge the short position by purchasing calls on </w:t>
      </w:r>
      <w:r w:rsidR="00A166AE" w:rsidRPr="00A166AE">
        <w:t>the ARKK ETF (</w:t>
      </w:r>
      <w:r w:rsidR="003240E9">
        <w:t>ETF</w:t>
      </w:r>
      <w:r w:rsidR="00F04423">
        <w:t xml:space="preserve"> focused on innovative companies, Tesla is the top holding</w:t>
      </w:r>
      <w:r w:rsidR="00A166AE" w:rsidRPr="00A166AE">
        <w:t>)</w:t>
      </w:r>
      <w:r w:rsidR="00F04423">
        <w:t>.</w:t>
      </w:r>
    </w:p>
    <w:p w14:paraId="4361A5E4" w14:textId="259EE0AA" w:rsidR="00F04423" w:rsidRDefault="00F04423" w:rsidP="000D51DB">
      <w:pPr>
        <w:pStyle w:val="ListParagraph"/>
        <w:numPr>
          <w:ilvl w:val="0"/>
          <w:numId w:val="10"/>
        </w:numPr>
      </w:pPr>
      <w:r>
        <w:rPr>
          <w:b/>
          <w:bCs/>
        </w:rPr>
        <w:t>Risk (2):</w:t>
      </w:r>
      <w:r>
        <w:t xml:space="preserve"> </w:t>
      </w:r>
      <w:r w:rsidR="003240E9">
        <w:t>Institutional ESG inflows reverse if controversy subsides.</w:t>
      </w:r>
    </w:p>
    <w:p w14:paraId="1CC7CE88" w14:textId="636B7B5D" w:rsidR="003240E9" w:rsidRPr="00A166AE" w:rsidRDefault="003240E9" w:rsidP="000D51DB">
      <w:pPr>
        <w:pStyle w:val="ListParagraph"/>
        <w:numPr>
          <w:ilvl w:val="0"/>
          <w:numId w:val="10"/>
        </w:numPr>
      </w:pPr>
      <w:r>
        <w:rPr>
          <w:b/>
          <w:bCs/>
        </w:rPr>
        <w:t>Mitigation (2):</w:t>
      </w:r>
      <w:r>
        <w:t xml:space="preserve"> </w:t>
      </w:r>
      <w:r w:rsidR="00046113">
        <w:t xml:space="preserve">monitor signals such as track rating from </w:t>
      </w:r>
      <w:r w:rsidR="00DC5881">
        <w:t>Sustainalytics</w:t>
      </w:r>
      <w:r w:rsidR="00046113">
        <w:t xml:space="preserve"> or </w:t>
      </w:r>
      <w:r w:rsidR="00DB3DF3">
        <w:t xml:space="preserve"> S&amp;P ESG or Tesla being reinstated into ESG indices or ETFs. Use this </w:t>
      </w:r>
      <w:r w:rsidR="00DC5881">
        <w:t>as an</w:t>
      </w:r>
      <w:r w:rsidR="00DB3DF3">
        <w:t xml:space="preserve"> early warning system to tighten risk controls </w:t>
      </w:r>
      <w:r w:rsidR="00DC5881">
        <w:t xml:space="preserve">or reduce exposure. </w:t>
      </w:r>
    </w:p>
    <w:sectPr w:rsidR="003240E9" w:rsidRPr="00A16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A12A3"/>
    <w:multiLevelType w:val="hybridMultilevel"/>
    <w:tmpl w:val="7118072A"/>
    <w:lvl w:ilvl="0" w:tplc="1CDC9A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C5108"/>
    <w:multiLevelType w:val="hybridMultilevel"/>
    <w:tmpl w:val="BF2A61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9A6CCD"/>
    <w:multiLevelType w:val="hybridMultilevel"/>
    <w:tmpl w:val="6CE623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F1AEA"/>
    <w:multiLevelType w:val="hybridMultilevel"/>
    <w:tmpl w:val="85602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42F5E"/>
    <w:multiLevelType w:val="multilevel"/>
    <w:tmpl w:val="B66E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A00503"/>
    <w:multiLevelType w:val="hybridMultilevel"/>
    <w:tmpl w:val="0B32D8CA"/>
    <w:lvl w:ilvl="0" w:tplc="1CDC9A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21C18"/>
    <w:multiLevelType w:val="hybridMultilevel"/>
    <w:tmpl w:val="0DB679CE"/>
    <w:lvl w:ilvl="0" w:tplc="1CDC9A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85B9F"/>
    <w:multiLevelType w:val="hybridMultilevel"/>
    <w:tmpl w:val="6B921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A0766"/>
    <w:multiLevelType w:val="hybridMultilevel"/>
    <w:tmpl w:val="01C08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450AB"/>
    <w:multiLevelType w:val="hybridMultilevel"/>
    <w:tmpl w:val="0DE206E4"/>
    <w:lvl w:ilvl="0" w:tplc="1CDC9A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841306">
    <w:abstractNumId w:val="8"/>
  </w:num>
  <w:num w:numId="2" w16cid:durableId="856424786">
    <w:abstractNumId w:val="7"/>
  </w:num>
  <w:num w:numId="3" w16cid:durableId="1354258347">
    <w:abstractNumId w:val="9"/>
  </w:num>
  <w:num w:numId="4" w16cid:durableId="985747714">
    <w:abstractNumId w:val="0"/>
  </w:num>
  <w:num w:numId="5" w16cid:durableId="608778714">
    <w:abstractNumId w:val="4"/>
  </w:num>
  <w:num w:numId="6" w16cid:durableId="1154252293">
    <w:abstractNumId w:val="6"/>
  </w:num>
  <w:num w:numId="7" w16cid:durableId="1580870996">
    <w:abstractNumId w:val="3"/>
  </w:num>
  <w:num w:numId="8" w16cid:durableId="1451624546">
    <w:abstractNumId w:val="5"/>
  </w:num>
  <w:num w:numId="9" w16cid:durableId="329600458">
    <w:abstractNumId w:val="1"/>
  </w:num>
  <w:num w:numId="10" w16cid:durableId="1746879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A7"/>
    <w:rsid w:val="00046113"/>
    <w:rsid w:val="000D51DB"/>
    <w:rsid w:val="000E565C"/>
    <w:rsid w:val="00112B2B"/>
    <w:rsid w:val="001636A7"/>
    <w:rsid w:val="00186EE3"/>
    <w:rsid w:val="00197A8F"/>
    <w:rsid w:val="001B0A38"/>
    <w:rsid w:val="00200359"/>
    <w:rsid w:val="002D0548"/>
    <w:rsid w:val="00321CDD"/>
    <w:rsid w:val="003240E9"/>
    <w:rsid w:val="00340C0B"/>
    <w:rsid w:val="003E05C7"/>
    <w:rsid w:val="00402CE1"/>
    <w:rsid w:val="00402F56"/>
    <w:rsid w:val="0041576C"/>
    <w:rsid w:val="0043753D"/>
    <w:rsid w:val="004C20C5"/>
    <w:rsid w:val="004E7E50"/>
    <w:rsid w:val="004F6269"/>
    <w:rsid w:val="005502F5"/>
    <w:rsid w:val="006758C8"/>
    <w:rsid w:val="006C1471"/>
    <w:rsid w:val="00707E31"/>
    <w:rsid w:val="00794C3C"/>
    <w:rsid w:val="007C474A"/>
    <w:rsid w:val="007E7E8C"/>
    <w:rsid w:val="00842427"/>
    <w:rsid w:val="00950128"/>
    <w:rsid w:val="00970996"/>
    <w:rsid w:val="009A42D1"/>
    <w:rsid w:val="009E17DF"/>
    <w:rsid w:val="009E3DCD"/>
    <w:rsid w:val="009E4680"/>
    <w:rsid w:val="009E6C2C"/>
    <w:rsid w:val="00A166AE"/>
    <w:rsid w:val="00A670C1"/>
    <w:rsid w:val="00A7489A"/>
    <w:rsid w:val="00AE1F3C"/>
    <w:rsid w:val="00B731AD"/>
    <w:rsid w:val="00BC6F3C"/>
    <w:rsid w:val="00BF4BA5"/>
    <w:rsid w:val="00C14662"/>
    <w:rsid w:val="00C27153"/>
    <w:rsid w:val="00C619BA"/>
    <w:rsid w:val="00C64800"/>
    <w:rsid w:val="00C84155"/>
    <w:rsid w:val="00CA0531"/>
    <w:rsid w:val="00CB6CBE"/>
    <w:rsid w:val="00D8624B"/>
    <w:rsid w:val="00DB3DF3"/>
    <w:rsid w:val="00DC5881"/>
    <w:rsid w:val="00DE648B"/>
    <w:rsid w:val="00E46A9C"/>
    <w:rsid w:val="00E93906"/>
    <w:rsid w:val="00EE3C66"/>
    <w:rsid w:val="00EE5C01"/>
    <w:rsid w:val="00F04423"/>
    <w:rsid w:val="00F17CDE"/>
    <w:rsid w:val="00F5373A"/>
    <w:rsid w:val="00FB3BC4"/>
    <w:rsid w:val="00FC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CB82"/>
  <w15:chartTrackingRefBased/>
  <w15:docId w15:val="{99EF6EC8-0F9C-405D-8D3A-CC0E8C93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6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6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6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6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6A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E17DF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E6C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Oran</dc:creator>
  <cp:keywords/>
  <dc:description/>
  <cp:lastModifiedBy>Theo Oran</cp:lastModifiedBy>
  <cp:revision>60</cp:revision>
  <dcterms:created xsi:type="dcterms:W3CDTF">2025-08-01T12:03:00Z</dcterms:created>
  <dcterms:modified xsi:type="dcterms:W3CDTF">2025-08-01T19:02:00Z</dcterms:modified>
</cp:coreProperties>
</file>