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0.png" ContentType="image/png"/>
  <Override PartName="/word/media/rId31.png" ContentType="image/png"/>
  <Override PartName="/word/media/rId28.png" ContentType="image/png"/>
  <Override PartName="/word/media/rId32.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1A644" w14:textId="77777777" w:rsidR="00E17C8B" w:rsidRDefault="00290434">
      <w:pPr>
        <w:jc w:val="center"/>
        <w:rPr>
          <w:sz w:val="34"/>
          <w:szCs w:val="34"/>
        </w:rPr>
      </w:pPr>
      <w:r>
        <w:rPr>
          <w:sz w:val="34"/>
          <w:szCs w:val="34"/>
        </w:rPr>
        <w:t xml:space="preserve">UNIVERSITY OF GHANA </w:t>
      </w:r>
    </w:p>
    <w:p w14:paraId="1C1C6FFB" w14:textId="2162870A" w:rsidR="00E17C8B" w:rsidRDefault="008C50D1">
      <w:pPr>
        <w:jc w:val="center"/>
        <w:rPr>
          <w:sz w:val="34"/>
          <w:szCs w:val="34"/>
        </w:rPr>
      </w:pPr>
      <w:r>
        <w:rPr>
          <w:sz w:val="34"/>
          <w:szCs w:val="34"/>
        </w:rPr>
        <w:t>SECOND SEMESTER EXAMINATION 2025/26</w:t>
      </w:r>
    </w:p>
    <w:p w14:paraId="37CFA9F9" w14:textId="77777777" w:rsidR="008C50D1" w:rsidRDefault="008C50D1" w:rsidP="008C50D1">
      <w:pPr>
        <w:jc w:val="center"/>
        <w:rPr>
          <w:sz w:val="34"/>
          <w:szCs w:val="34"/>
        </w:rPr>
      </w:pPr>
      <w:r>
        <w:rPr>
          <w:sz w:val="34"/>
          <w:szCs w:val="34"/>
        </w:rPr>
        <w:t xml:space="preserve">CSCD 602: ADVANCED SOFTWARE ENGINEERING </w:t>
      </w:r>
    </w:p>
    <w:p w14:paraId="5BE33E08" w14:textId="77777777" w:rsidR="008C50D1" w:rsidRDefault="008C50D1">
      <w:pPr>
        <w:jc w:val="center"/>
        <w:rPr>
          <w:sz w:val="34"/>
          <w:szCs w:val="34"/>
        </w:rPr>
      </w:pPr>
    </w:p>
    <w:p w14:paraId="0A009F18" w14:textId="77777777" w:rsidR="00E17C8B" w:rsidRDefault="00290434">
      <w:pPr>
        <w:jc w:val="center"/>
        <w:rPr>
          <w:sz w:val="34"/>
          <w:szCs w:val="34"/>
        </w:rPr>
      </w:pPr>
      <w:r>
        <w:rPr>
          <w:sz w:val="34"/>
          <w:szCs w:val="34"/>
        </w:rPr>
        <w:t xml:space="preserve"> </w:t>
      </w:r>
      <w:r>
        <w:rPr>
          <w:noProof/>
        </w:rPr>
        <w:drawing>
          <wp:anchor distT="0" distB="0" distL="114300" distR="114300" simplePos="0" relativeHeight="251658240" behindDoc="0" locked="0" layoutInCell="1" hidden="0" allowOverlap="1" wp14:anchorId="5C2B44D9" wp14:editId="02FD0DE1">
            <wp:simplePos x="0" y="0"/>
            <wp:positionH relativeFrom="column">
              <wp:posOffset>2171620</wp:posOffset>
            </wp:positionH>
            <wp:positionV relativeFrom="paragraph">
              <wp:posOffset>5080</wp:posOffset>
            </wp:positionV>
            <wp:extent cx="1394617" cy="1672293"/>
            <wp:effectExtent l="0" t="0" r="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1394617" cy="1672293"/>
                    </a:xfrm>
                    <a:prstGeom prst="rect">
                      <a:avLst/>
                    </a:prstGeom>
                    <a:ln/>
                  </pic:spPr>
                </pic:pic>
              </a:graphicData>
            </a:graphic>
          </wp:anchor>
        </w:drawing>
      </w:r>
    </w:p>
    <w:p w14:paraId="54E403F4" w14:textId="77777777" w:rsidR="00E17C8B" w:rsidRDefault="00E17C8B">
      <w:pPr>
        <w:jc w:val="center"/>
        <w:rPr>
          <w:sz w:val="34"/>
          <w:szCs w:val="34"/>
        </w:rPr>
      </w:pPr>
    </w:p>
    <w:p w14:paraId="4A78963C" w14:textId="77777777" w:rsidR="00E17C8B" w:rsidRDefault="00E17C8B">
      <w:pPr>
        <w:jc w:val="center"/>
        <w:rPr>
          <w:sz w:val="34"/>
          <w:szCs w:val="34"/>
        </w:rPr>
      </w:pPr>
    </w:p>
    <w:p w14:paraId="0F285989" w14:textId="77777777" w:rsidR="00E17C8B" w:rsidRDefault="00E17C8B">
      <w:pPr>
        <w:jc w:val="center"/>
        <w:rPr>
          <w:sz w:val="34"/>
          <w:szCs w:val="34"/>
        </w:rPr>
      </w:pPr>
    </w:p>
    <w:p w14:paraId="19FF992A" w14:textId="77777777" w:rsidR="00E17C8B" w:rsidRDefault="00E17C8B">
      <w:pPr>
        <w:jc w:val="center"/>
        <w:rPr>
          <w:sz w:val="34"/>
          <w:szCs w:val="34"/>
        </w:rPr>
      </w:pPr>
    </w:p>
    <w:p w14:paraId="7DA3A32A" w14:textId="77777777" w:rsidR="00E17C8B" w:rsidRDefault="00290434">
      <w:pPr>
        <w:jc w:val="center"/>
        <w:rPr>
          <w:sz w:val="34"/>
          <w:szCs w:val="34"/>
        </w:rPr>
      </w:pPr>
      <w:r>
        <w:rPr>
          <w:sz w:val="34"/>
          <w:szCs w:val="34"/>
        </w:rPr>
        <w:t xml:space="preserve"> </w:t>
      </w:r>
    </w:p>
    <w:p w14:paraId="09B78A55" w14:textId="77777777" w:rsidR="00E17C8B" w:rsidRDefault="00E17C8B">
      <w:pPr>
        <w:jc w:val="center"/>
        <w:rPr>
          <w:color w:val="FF0000"/>
          <w:sz w:val="34"/>
          <w:szCs w:val="34"/>
        </w:rPr>
      </w:pPr>
    </w:p>
    <w:p w14:paraId="5126880B" w14:textId="58185ED7" w:rsidR="00E17C8B" w:rsidRDefault="008C50D1">
      <w:pPr>
        <w:jc w:val="center"/>
        <w:rPr>
          <w:sz w:val="32"/>
          <w:szCs w:val="32"/>
        </w:rPr>
      </w:pPr>
      <w:r>
        <w:rPr>
          <w:sz w:val="34"/>
          <w:szCs w:val="34"/>
        </w:rPr>
        <w:t>NKWANTA: A ROAD INCIDENT REPORTING AND DISPATCH SYSTEM FOR URBAN GHANA — PROJECT DOCUMENTATION</w:t>
      </w:r>
    </w:p>
    <w:p w14:paraId="4E3DDD32" w14:textId="77777777" w:rsidR="00E17C8B" w:rsidRDefault="00E17C8B">
      <w:pPr>
        <w:jc w:val="center"/>
        <w:rPr>
          <w:sz w:val="34"/>
          <w:szCs w:val="34"/>
        </w:rPr>
      </w:pPr>
    </w:p>
    <w:p w14:paraId="365BA0C7" w14:textId="77777777" w:rsidR="00E17C8B" w:rsidRDefault="00E17C8B">
      <w:pPr>
        <w:rPr>
          <w:sz w:val="34"/>
          <w:szCs w:val="34"/>
        </w:rPr>
      </w:pPr>
    </w:p>
    <w:p w14:paraId="7433D56C" w14:textId="77777777" w:rsidR="00E17C8B" w:rsidRDefault="00E17C8B">
      <w:pPr>
        <w:jc w:val="center"/>
        <w:rPr>
          <w:sz w:val="34"/>
          <w:szCs w:val="34"/>
        </w:rPr>
      </w:pPr>
    </w:p>
    <w:p w14:paraId="038F75FE" w14:textId="77777777" w:rsidR="00E17C8B" w:rsidRDefault="00290434">
      <w:pPr>
        <w:rPr>
          <w:sz w:val="34"/>
          <w:szCs w:val="34"/>
        </w:rPr>
      </w:pPr>
      <w:r>
        <w:rPr>
          <w:sz w:val="34"/>
          <w:szCs w:val="34"/>
        </w:rPr>
        <w:t xml:space="preserve"> </w:t>
      </w:r>
    </w:p>
    <w:p w14:paraId="31AE382A" w14:textId="77777777" w:rsidR="00E17C8B" w:rsidRDefault="00290434">
      <w:pPr>
        <w:jc w:val="center"/>
        <w:rPr>
          <w:sz w:val="34"/>
          <w:szCs w:val="34"/>
        </w:rPr>
      </w:pPr>
      <w:r>
        <w:rPr>
          <w:sz w:val="34"/>
          <w:szCs w:val="34"/>
        </w:rPr>
        <w:t xml:space="preserve">BY </w:t>
      </w:r>
    </w:p>
    <w:p w14:paraId="03AD6127" w14:textId="22B47AF5" w:rsidR="00E17C8B" w:rsidRPr="004B7297" w:rsidRDefault="004B7297">
      <w:pPr>
        <w:jc w:val="center"/>
        <w:rPr>
          <w:sz w:val="34"/>
          <w:szCs w:val="34"/>
        </w:rPr>
      </w:pPr>
      <w:r>
        <w:rPr>
          <w:sz w:val="34"/>
          <w:szCs w:val="34"/>
        </w:rPr>
        <w:t>THEOPHILUS OFOE CAESAR</w:t>
      </w:r>
    </w:p>
    <w:p w14:paraId="2D74C9FE" w14:textId="21D5EDC7" w:rsidR="00E17C8B" w:rsidRDefault="004B7297">
      <w:pPr>
        <w:jc w:val="center"/>
        <w:rPr>
          <w:sz w:val="34"/>
          <w:szCs w:val="34"/>
        </w:rPr>
      </w:pPr>
      <w:r>
        <w:rPr>
          <w:sz w:val="34"/>
          <w:szCs w:val="34"/>
        </w:rPr>
        <w:t>(ID. NO: 22424543)</w:t>
      </w:r>
    </w:p>
    <w:p w14:paraId="7475F148" w14:textId="77777777" w:rsidR="00E17C8B" w:rsidRDefault="00E17C8B">
      <w:pPr>
        <w:jc w:val="center"/>
        <w:rPr>
          <w:sz w:val="34"/>
          <w:szCs w:val="34"/>
        </w:rPr>
      </w:pPr>
    </w:p>
    <w:p w14:paraId="6BB65974" w14:textId="77777777" w:rsidR="00E17C8B" w:rsidRDefault="00290434">
      <w:pPr>
        <w:jc w:val="center"/>
        <w:rPr>
          <w:sz w:val="34"/>
          <w:szCs w:val="34"/>
        </w:rPr>
      </w:pPr>
      <w:r>
        <w:rPr>
          <w:sz w:val="34"/>
          <w:szCs w:val="34"/>
        </w:rPr>
        <w:t xml:space="preserve"> </w:t>
      </w:r>
    </w:p>
    <w:p w14:paraId="6CF43C98" w14:textId="77777777" w:rsidR="004B7297" w:rsidRDefault="004B7297">
      <w:pPr>
        <w:rPr>
          <w:b/>
          <w:caps/>
          <w:sz w:val="28"/>
          <w:szCs w:val="40"/>
        </w:rPr>
      </w:pPr>
      <w:r>
        <w:br w:type="page"/>
      </w:r>
    </w:p>
    <w:p w14:paraId="04D0CA4D" w14:textId="30B00D1F" w:rsidR="00E17C8B" w:rsidRDefault="00290434">
      <w:pPr>
        <w:pStyle w:val="Heading1"/>
        <w:spacing w:line="480" w:lineRule="auto"/>
      </w:pPr>
      <w:bookmarkStart w:id="0" w:name="_Toc237693731"/>
      <w:r>
        <w:lastRenderedPageBreak/>
        <w:t>ABSTRACT</w:t>
      </w:r>
      <w:bookmarkEnd w:id="0"/>
    </w:p>
    <w:p>
      <w:pPr>
        <w:spacing w:line="360" w:lineRule="auto"/>
        <w:jc w:val="both"/>
      </w:pPr>
      <w:r>
        <w:t xml:space="preserve">Nkwanta is a road incident reporting and dispatch system for urban Ghana. Road users report what is blocking a road; the system works out which reports describe the same real event, scores how believable each event is from the reporters' track records, warns other commuters travelling that way, and places credible events in front of a traffic control officer who can send a warden. This document consolidates the full engineering record across all nineteen required sections: problem, stakeholders, requirements analysis, effort estimation, system analysis and design, implementation, testing, technical debt, deployment, maintenance, future evolution and limitations. The system is deployed and reachable, carries 508 automated tests including 35 property-based invariants, and records 23 technical debt items and 45 dated design decisions written as the work was done. Two gaps are declared rather than rounded away: one functional requirement is verified only by inspection, and one non-functional requirement is stated as a target rather than a measurement.</w:t>
      </w:r>
    </w:p>
    <w:p w14:paraId="58ED8DD7" w14:textId="77777777" w:rsidR="00E17C8B" w:rsidRDefault="00E17C8B">
      <w:pPr>
        <w:spacing w:line="480" w:lineRule="auto"/>
      </w:pPr>
    </w:p>
    <w:p w14:paraId="2C674ED8" w14:textId="77777777" w:rsidR="00E17C8B" w:rsidRDefault="00290434">
      <w:r>
        <w:br w:type="page"/>
      </w:r>
    </w:p>
    <w:p w14:paraId="124870DD" w14:textId="77777777" w:rsidR="00E17C8B" w:rsidRDefault="00290434">
      <w:pPr>
        <w:pStyle w:val="Heading1"/>
      </w:pPr>
      <w:bookmarkStart w:id="1" w:name="_Toc237693732"/>
      <w:r>
        <w:lastRenderedPageBreak/>
        <w:t>TABLE OF CONTENT</w:t>
      </w:r>
      <w:bookmarkEnd w:id="1"/>
    </w:p>
    <w:p w14:paraId="001E9133" w14:textId="77777777" w:rsidR="00E17C8B" w:rsidRDefault="00E17C8B">
      <w:pPr>
        <w:keepNext/>
        <w:keepLines/>
        <w:pBdr>
          <w:top w:val="nil"/>
          <w:left w:val="nil"/>
          <w:bottom w:val="nil"/>
          <w:right w:val="nil"/>
          <w:between w:val="nil"/>
        </w:pBdr>
        <w:spacing w:before="240" w:line="480" w:lineRule="auto"/>
        <w:rPr>
          <w:smallCaps/>
          <w:color w:val="366091"/>
        </w:rPr>
      </w:pPr>
    </w:p>
    <w:sdt>
      <w:sdtPr>
        <w:id w:val="-574742740"/>
        <w:docPartObj>
          <w:docPartGallery w:val="Table of Contents"/>
          <w:docPartUnique/>
        </w:docPartObj>
      </w:sdtPr>
      <w:sdtEndPr/>
      <w:sdtContent>
        <w:p w14:paraId="1C31002F" w14:textId="6814BB43" w:rsidR="007C049B" w:rsidRDefault="00290434">
          <w:pPr>
            <w:pStyle w:val="TOC1"/>
            <w:tabs>
              <w:tab w:val="right" w:leader="dot" w:pos="9019"/>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37693731" w:history="1">
            <w:r w:rsidR="007C049B" w:rsidRPr="001A247F">
              <w:rPr>
                <w:rStyle w:val="Hyperlink"/>
                <w:noProof/>
              </w:rPr>
              <w:t>ABSTRACT</w:t>
            </w:r>
            <w:r w:rsidR="007C049B">
              <w:rPr>
                <w:noProof/>
                <w:webHidden/>
              </w:rPr>
              <w:tab/>
            </w:r>
            <w:r w:rsidR="007C049B">
              <w:rPr>
                <w:noProof/>
                <w:webHidden/>
              </w:rPr>
              <w:fldChar w:fldCharType="begin"/>
            </w:r>
            <w:r w:rsidR="007C049B">
              <w:rPr>
                <w:noProof/>
                <w:webHidden/>
              </w:rPr>
              <w:instrText xml:space="preserve"> PAGEREF _Toc237693731 \h </w:instrText>
            </w:r>
            <w:r w:rsidR="007C049B">
              <w:rPr>
                <w:noProof/>
                <w:webHidden/>
              </w:rPr>
            </w:r>
            <w:r w:rsidR="007C049B">
              <w:rPr>
                <w:noProof/>
                <w:webHidden/>
              </w:rPr>
              <w:fldChar w:fldCharType="separate"/>
            </w:r>
            <w:r w:rsidR="007C049B">
              <w:rPr>
                <w:noProof/>
                <w:webHidden/>
              </w:rPr>
              <w:t>2</w:t>
            </w:r>
            <w:r w:rsidR="007C049B">
              <w:rPr>
                <w:noProof/>
                <w:webHidden/>
              </w:rPr>
              <w:fldChar w:fldCharType="end"/>
            </w:r>
          </w:hyperlink>
        </w:p>
        <w:p w14:paraId="1EE0D901" w14:textId="4FDA568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2" w:history="1">
            <w:r w:rsidRPr="001A247F">
              <w:rPr>
                <w:rStyle w:val="Hyperlink"/>
                <w:noProof/>
              </w:rPr>
              <w:t>TABLE OF CONTENT</w:t>
            </w:r>
            <w:r>
              <w:rPr>
                <w:noProof/>
                <w:webHidden/>
              </w:rPr>
              <w:tab/>
            </w:r>
            <w:r>
              <w:rPr>
                <w:noProof/>
                <w:webHidden/>
              </w:rPr>
              <w:fldChar w:fldCharType="begin"/>
            </w:r>
            <w:r>
              <w:rPr>
                <w:noProof/>
                <w:webHidden/>
              </w:rPr>
              <w:instrText xml:space="preserve"> PAGEREF _Toc237693732 \h </w:instrText>
            </w:r>
            <w:r>
              <w:rPr>
                <w:noProof/>
                <w:webHidden/>
              </w:rPr>
            </w:r>
            <w:r>
              <w:rPr>
                <w:noProof/>
                <w:webHidden/>
              </w:rPr>
              <w:fldChar w:fldCharType="separate"/>
            </w:r>
            <w:r>
              <w:rPr>
                <w:noProof/>
                <w:webHidden/>
              </w:rPr>
              <w:t>3</w:t>
            </w:r>
            <w:r>
              <w:rPr>
                <w:noProof/>
                <w:webHidden/>
              </w:rPr>
              <w:fldChar w:fldCharType="end"/>
            </w:r>
          </w:hyperlink>
        </w:p>
        <w:p w14:paraId="32F1AB3E" w14:textId="34B504B2"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3" w:history="1">
            <w:r w:rsidRPr="001A247F">
              <w:rPr>
                <w:rStyle w:val="Hyperlink"/>
                <w:noProof/>
              </w:rPr>
              <w:t>LIST OF FIGURES</w:t>
            </w:r>
            <w:r>
              <w:rPr>
                <w:noProof/>
                <w:webHidden/>
              </w:rPr>
              <w:tab/>
            </w:r>
            <w:r>
              <w:rPr>
                <w:noProof/>
                <w:webHidden/>
              </w:rPr>
              <w:fldChar w:fldCharType="begin"/>
            </w:r>
            <w:r>
              <w:rPr>
                <w:noProof/>
                <w:webHidden/>
              </w:rPr>
              <w:instrText xml:space="preserve"> PAGEREF _Toc237693733 \h </w:instrText>
            </w:r>
            <w:r>
              <w:rPr>
                <w:noProof/>
                <w:webHidden/>
              </w:rPr>
            </w:r>
            <w:r>
              <w:rPr>
                <w:noProof/>
                <w:webHidden/>
              </w:rPr>
              <w:fldChar w:fldCharType="separate"/>
            </w:r>
            <w:r>
              <w:rPr>
                <w:noProof/>
                <w:webHidden/>
              </w:rPr>
              <w:t>4</w:t>
            </w:r>
            <w:r>
              <w:rPr>
                <w:noProof/>
                <w:webHidden/>
              </w:rPr>
              <w:fldChar w:fldCharType="end"/>
            </w:r>
          </w:hyperlink>
        </w:p>
        <w:p w14:paraId="7C4345FB" w14:textId="7DBABA51"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4" w:history="1">
            <w:r w:rsidRPr="001A247F">
              <w:rPr>
                <w:rStyle w:val="Hyperlink"/>
                <w:noProof/>
              </w:rPr>
              <w:t>LIST OF TABLES</w:t>
            </w:r>
            <w:r>
              <w:rPr>
                <w:noProof/>
                <w:webHidden/>
              </w:rPr>
              <w:tab/>
            </w:r>
            <w:r>
              <w:rPr>
                <w:noProof/>
                <w:webHidden/>
              </w:rPr>
              <w:fldChar w:fldCharType="begin"/>
            </w:r>
            <w:r>
              <w:rPr>
                <w:noProof/>
                <w:webHidden/>
              </w:rPr>
              <w:instrText xml:space="preserve"> PAGEREF _Toc237693734 \h </w:instrText>
            </w:r>
            <w:r>
              <w:rPr>
                <w:noProof/>
                <w:webHidden/>
              </w:rPr>
            </w:r>
            <w:r>
              <w:rPr>
                <w:noProof/>
                <w:webHidden/>
              </w:rPr>
              <w:fldChar w:fldCharType="separate"/>
            </w:r>
            <w:r>
              <w:rPr>
                <w:noProof/>
                <w:webHidden/>
              </w:rPr>
              <w:t>5</w:t>
            </w:r>
            <w:r>
              <w:rPr>
                <w:noProof/>
                <w:webHidden/>
              </w:rPr>
              <w:fldChar w:fldCharType="end"/>
            </w:r>
          </w:hyperlink>
        </w:p>
        <w:p w14:paraId="3BE0B3EE" w14:textId="32794020"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5" w:history="1">
            <w:r w:rsidRPr="001A247F">
              <w:rPr>
                <w:rStyle w:val="Hyperlink"/>
                <w:noProof/>
              </w:rPr>
              <w:t>LIST OF ABBREVIATIONS</w:t>
            </w:r>
            <w:r>
              <w:rPr>
                <w:noProof/>
                <w:webHidden/>
              </w:rPr>
              <w:tab/>
            </w:r>
            <w:r>
              <w:rPr>
                <w:noProof/>
                <w:webHidden/>
              </w:rPr>
              <w:fldChar w:fldCharType="begin"/>
            </w:r>
            <w:r>
              <w:rPr>
                <w:noProof/>
                <w:webHidden/>
              </w:rPr>
              <w:instrText xml:space="preserve"> PAGEREF _Toc237693735 \h </w:instrText>
            </w:r>
            <w:r>
              <w:rPr>
                <w:noProof/>
                <w:webHidden/>
              </w:rPr>
            </w:r>
            <w:r>
              <w:rPr>
                <w:noProof/>
                <w:webHidden/>
              </w:rPr>
              <w:fldChar w:fldCharType="separate"/>
            </w:r>
            <w:r>
              <w:rPr>
                <w:noProof/>
                <w:webHidden/>
              </w:rPr>
              <w:t>6</w:t>
            </w:r>
            <w:r>
              <w:rPr>
                <w:noProof/>
                <w:webHidden/>
              </w:rPr>
              <w:fldChar w:fldCharType="end"/>
            </w:r>
          </w:hyperlink>
        </w:p>
        <w:p w14:paraId="36639424" w14:textId="59D6F7B4"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6" w:history="1">
            <w:r w:rsidRPr="001A247F">
              <w:rPr>
                <w:rStyle w:val="Hyperlink"/>
                <w:noProof/>
              </w:rPr>
              <w:t>CHAPTER 1 - INTRODUCTION</w:t>
            </w:r>
            <w:r>
              <w:rPr>
                <w:noProof/>
                <w:webHidden/>
              </w:rPr>
              <w:tab/>
            </w:r>
            <w:r>
              <w:rPr>
                <w:noProof/>
                <w:webHidden/>
              </w:rPr>
              <w:fldChar w:fldCharType="begin"/>
            </w:r>
            <w:r>
              <w:rPr>
                <w:noProof/>
                <w:webHidden/>
              </w:rPr>
              <w:instrText xml:space="preserve"> PAGEREF _Toc237693736 \h </w:instrText>
            </w:r>
            <w:r>
              <w:rPr>
                <w:noProof/>
                <w:webHidden/>
              </w:rPr>
            </w:r>
            <w:r>
              <w:rPr>
                <w:noProof/>
                <w:webHidden/>
              </w:rPr>
              <w:fldChar w:fldCharType="separate"/>
            </w:r>
            <w:r>
              <w:rPr>
                <w:noProof/>
                <w:webHidden/>
              </w:rPr>
              <w:t>1</w:t>
            </w:r>
            <w:r>
              <w:rPr>
                <w:noProof/>
                <w:webHidden/>
              </w:rPr>
              <w:fldChar w:fldCharType="end"/>
            </w:r>
          </w:hyperlink>
        </w:p>
        <w:p w14:paraId="25370B63" w14:textId="6D4F62B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7" w:history="1">
            <w:r w:rsidRPr="001A247F">
              <w:rPr>
                <w:rStyle w:val="Hyperlink"/>
                <w:noProof/>
              </w:rPr>
              <w:t>CHAPTER 5 – CONCLUSION AND FUTURE WORKS</w:t>
            </w:r>
            <w:r>
              <w:rPr>
                <w:noProof/>
                <w:webHidden/>
              </w:rPr>
              <w:tab/>
            </w:r>
            <w:r>
              <w:rPr>
                <w:noProof/>
                <w:webHidden/>
              </w:rPr>
              <w:fldChar w:fldCharType="begin"/>
            </w:r>
            <w:r>
              <w:rPr>
                <w:noProof/>
                <w:webHidden/>
              </w:rPr>
              <w:instrText xml:space="preserve"> PAGEREF _Toc237693737 \h </w:instrText>
            </w:r>
            <w:r>
              <w:rPr>
                <w:noProof/>
                <w:webHidden/>
              </w:rPr>
            </w:r>
            <w:r>
              <w:rPr>
                <w:noProof/>
                <w:webHidden/>
              </w:rPr>
              <w:fldChar w:fldCharType="separate"/>
            </w:r>
            <w:r>
              <w:rPr>
                <w:noProof/>
                <w:webHidden/>
              </w:rPr>
              <w:t>2</w:t>
            </w:r>
            <w:r>
              <w:rPr>
                <w:noProof/>
                <w:webHidden/>
              </w:rPr>
              <w:fldChar w:fldCharType="end"/>
            </w:r>
          </w:hyperlink>
        </w:p>
        <w:p w14:paraId="4BBC946E" w14:textId="505FA0D4" w:rsidR="007C049B" w:rsidRDefault="007C049B">
          <w:pPr>
            <w:pStyle w:val="TOC2"/>
            <w:tabs>
              <w:tab w:val="right" w:leader="dot" w:pos="9019"/>
            </w:tabs>
            <w:rPr>
              <w:rFonts w:asciiTheme="minorHAnsi" w:eastAsiaTheme="minorEastAsia" w:hAnsiTheme="minorHAnsi" w:cstheme="minorBidi"/>
              <w:noProof/>
              <w:sz w:val="22"/>
              <w:szCs w:val="22"/>
            </w:rPr>
          </w:pPr>
          <w:hyperlink w:anchor="_Toc237693738" w:history="1">
            <w:r w:rsidRPr="001A247F">
              <w:rPr>
                <w:rStyle w:val="Hyperlink"/>
                <w:noProof/>
              </w:rPr>
              <w:t>5.1 Overview</w:t>
            </w:r>
            <w:r>
              <w:rPr>
                <w:noProof/>
                <w:webHidden/>
              </w:rPr>
              <w:tab/>
            </w:r>
            <w:r>
              <w:rPr>
                <w:noProof/>
                <w:webHidden/>
              </w:rPr>
              <w:fldChar w:fldCharType="begin"/>
            </w:r>
            <w:r>
              <w:rPr>
                <w:noProof/>
                <w:webHidden/>
              </w:rPr>
              <w:instrText xml:space="preserve"> PAGEREF _Toc237693738 \h </w:instrText>
            </w:r>
            <w:r>
              <w:rPr>
                <w:noProof/>
                <w:webHidden/>
              </w:rPr>
            </w:r>
            <w:r>
              <w:rPr>
                <w:noProof/>
                <w:webHidden/>
              </w:rPr>
              <w:fldChar w:fldCharType="separate"/>
            </w:r>
            <w:r>
              <w:rPr>
                <w:noProof/>
                <w:webHidden/>
              </w:rPr>
              <w:t>2</w:t>
            </w:r>
            <w:r>
              <w:rPr>
                <w:noProof/>
                <w:webHidden/>
              </w:rPr>
              <w:fldChar w:fldCharType="end"/>
            </w:r>
          </w:hyperlink>
        </w:p>
        <w:p w14:paraId="1C971408" w14:textId="15D9455E"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9" w:history="1">
            <w:r w:rsidRPr="001A247F">
              <w:rPr>
                <w:rStyle w:val="Hyperlink"/>
                <w:noProof/>
              </w:rPr>
              <w:t>REFERENCES</w:t>
            </w:r>
            <w:r>
              <w:rPr>
                <w:noProof/>
                <w:webHidden/>
              </w:rPr>
              <w:tab/>
            </w:r>
            <w:r>
              <w:rPr>
                <w:noProof/>
                <w:webHidden/>
              </w:rPr>
              <w:fldChar w:fldCharType="begin"/>
            </w:r>
            <w:r>
              <w:rPr>
                <w:noProof/>
                <w:webHidden/>
              </w:rPr>
              <w:instrText xml:space="preserve"> PAGEREF _Toc237693739 \h </w:instrText>
            </w:r>
            <w:r>
              <w:rPr>
                <w:noProof/>
                <w:webHidden/>
              </w:rPr>
            </w:r>
            <w:r>
              <w:rPr>
                <w:noProof/>
                <w:webHidden/>
              </w:rPr>
              <w:fldChar w:fldCharType="separate"/>
            </w:r>
            <w:r>
              <w:rPr>
                <w:noProof/>
                <w:webHidden/>
              </w:rPr>
              <w:t>4</w:t>
            </w:r>
            <w:r>
              <w:rPr>
                <w:noProof/>
                <w:webHidden/>
              </w:rPr>
              <w:fldChar w:fldCharType="end"/>
            </w:r>
          </w:hyperlink>
        </w:p>
        <w:p w14:paraId="2E783BA4" w14:textId="6AE8491A" w:rsidR="00E17C8B" w:rsidRDefault="00290434">
          <w:pPr>
            <w:spacing w:line="480" w:lineRule="auto"/>
          </w:pPr>
          <w:r>
            <w:fldChar w:fldCharType="end"/>
          </w:r>
        </w:p>
      </w:sdtContent>
    </w:sdt>
    <w:p w14:paraId="5594C4F7" w14:textId="77777777" w:rsidR="00E17C8B" w:rsidRDefault="00E17C8B"/>
    <w:p w14:paraId="47550F06" w14:textId="77777777" w:rsidR="00E17C8B" w:rsidRDefault="00E17C8B"/>
    <w:p w14:paraId="252E241C" w14:textId="77777777" w:rsidR="00E17C8B" w:rsidRDefault="00290434">
      <w:r>
        <w:br w:type="page"/>
      </w:r>
    </w:p>
    <w:p w14:paraId="762C1239" w14:textId="77777777" w:rsidR="00E17C8B" w:rsidRDefault="00290434">
      <w:pPr>
        <w:pStyle w:val="Heading1"/>
      </w:pPr>
      <w:bookmarkStart w:id="2" w:name="_Toc237693733"/>
      <w:r>
        <w:lastRenderedPageBreak/>
        <w:t>LIST OF FIGURES</w:t>
      </w:r>
      <w:bookmarkEnd w:id="2"/>
    </w:p>
    <w:p w14:paraId="13C3FC90" w14:textId="77777777" w:rsidR="00E17C8B" w:rsidRDefault="00E17C8B"/>
    <w:sdt>
      <w:sdtPr>
        <w:id w:val="365484047"/>
        <w:docPartObj>
          <w:docPartGallery w:val="Table of Contents"/>
          <w:docPartUnique/>
        </w:docPartObj>
      </w:sdtPr>
      <w:sdtEndPr/>
      <w:sdtContent>
        <w:p w14:paraId="60BCCA7F" w14:textId="77777777" w:rsidR="00E17C8B" w:rsidRDefault="00290434">
          <w:pPr>
            <w:spacing w:line="14" w:lineRule="auto"/>
          </w:pPr>
          <w:r>
            <w:fldChar w:fldCharType="begin"/>
          </w:r>
          <w:r>
            <w:instrText xml:space="preserve"> TOC \h \u \z \t "Heading 1,1,Heading 2,2,Heading 3,3,Heading 4,4,Heading 5,5,Heading 6,6,"</w:instrText>
          </w:r>
          <w:r w:rsidR="000676DE">
            <w:fldChar w:fldCharType="separate"/>
          </w:r>
          <w:r>
            <w:fldChar w:fldCharType="end"/>
          </w:r>
        </w:p>
      </w:sdtContent>
    </w:sdt>
    <w:p w14:paraId="45B14E17" w14:textId="77777777" w:rsidR="00E17C8B" w:rsidRDefault="00290434">
      <w:pPr>
        <w:spacing w:line="480" w:lineRule="auto"/>
      </w:pPr>
      <w:r>
        <w:br w:type="page"/>
      </w:r>
    </w:p>
    <w:p w14:paraId="3E0DAE09" w14:textId="77777777" w:rsidR="00E17C8B" w:rsidRDefault="00290434">
      <w:pPr>
        <w:pStyle w:val="Heading1"/>
      </w:pPr>
      <w:bookmarkStart w:id="3" w:name="_Toc237693734"/>
      <w:r>
        <w:lastRenderedPageBreak/>
        <w:t>LIST OF TABLES</w:t>
      </w:r>
      <w:bookmarkEnd w:id="3"/>
    </w:p>
    <w:p w14:paraId="2DDA5567" w14:textId="77777777" w:rsidR="00E17C8B" w:rsidRDefault="00E17C8B">
      <w:pPr>
        <w:spacing w:line="480" w:lineRule="auto"/>
      </w:pPr>
    </w:p>
    <w:p w14:paraId="2C0B2ADC" w14:textId="77777777" w:rsidR="00E17C8B" w:rsidRDefault="00E17C8B">
      <w:pPr>
        <w:spacing w:line="480" w:lineRule="auto"/>
      </w:pPr>
    </w:p>
    <w:p w14:paraId="4377F69D" w14:textId="77777777" w:rsidR="00E17C8B" w:rsidRDefault="00290434">
      <w:r>
        <w:br w:type="page"/>
      </w:r>
    </w:p>
    <w:p w14:paraId="6C3CC3D1" w14:textId="77777777" w:rsidR="00E17C8B" w:rsidRDefault="00290434">
      <w:pPr>
        <w:pStyle w:val="Heading1"/>
        <w:spacing w:line="480" w:lineRule="auto"/>
        <w:rPr>
          <w:sz w:val="24"/>
          <w:szCs w:val="24"/>
        </w:rPr>
      </w:pPr>
      <w:bookmarkStart w:id="4" w:name="_Toc237693735"/>
      <w:r>
        <w:rPr>
          <w:sz w:val="24"/>
          <w:szCs w:val="24"/>
        </w:rPr>
        <w:lastRenderedPageBreak/>
        <w:t>LIST OF ABBREVIATIONS</w:t>
      </w:r>
      <w:bookmarkEnd w:id="4"/>
    </w:p>
    <w:p w14:paraId="72312082" w14:textId="77777777" w:rsidR="00E17C8B" w:rsidRDefault="00290434">
      <w:pPr>
        <w:sectPr w:rsidR="00E17C8B">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titlePg/>
        </w:sectPr>
      </w:pPr>
      <w:r>
        <w:br w:type="page"/>
      </w:r>
    </w:p>
    <w:p>
      <w:r>
        <w:br w:type="page"/>
      </w:r>
    </w:p>
    <w:p>
      <w:pPr>
        <w:pStyle w:val="FirstParagraph"/>
      </w:pPr>
      <w:r>
        <w:rPr>
          <w:i/>
        </w:rPr>
        <w:t xml:space="preserve">University of Ghana · Examiner: Prof. Solomon Mensah · 14 August 2026</w:t>
      </w:r>
      <w:r>
        <w:t xml:space="preserve"> </w:t>
      </w:r>
      <w:r>
        <w:t xml:space="preserve">## How to read this document</w:t>
      </w:r>
      <w:r>
        <w:t xml:space="preserve"> </w:t>
      </w:r>
      <w:r>
        <w:t xml:space="preserve">This is the consolidating document. It covers all nineteen required sections in order.</w:t>
      </w:r>
      <w:r>
        <w:t xml:space="preserve"> </w:t>
      </w:r>
      <w:r>
        <w:t xml:space="preserve">Where a section has a dedicated document, this one gives the substance and points to it</w:t>
      </w:r>
      <w:r>
        <w:t xml:space="preserve"> </w:t>
      </w:r>
      <w:r>
        <w:t xml:space="preserve">rather than duplicating it — a duplicated section is a section that will disagree with its</w:t>
      </w:r>
      <w:r>
        <w:t xml:space="preserve"> </w:t>
      </w:r>
      <w:r>
        <w:t xml:space="preserve">original after the next change. Nothing here depends on reading the others.</w:t>
      </w:r>
      <w:r>
        <w:t xml:space="preserve"> </w:t>
      </w:r>
      <w:r>
        <w:t xml:space="preserve">| Referenced as | Full document |</w:t>
      </w:r>
      <w:r>
        <w:t xml:space="preserve"> </w:t>
      </w:r>
      <w:r>
        <w:t xml:space="preserve">|—|—|</w:t>
      </w:r>
      <w:r>
        <w:t xml:space="preserve"> </w:t>
      </w:r>
      <w:r>
        <w:t xml:space="preserve">| SRS |</w:t>
      </w:r>
      <w:r>
        <w:t xml:space="preserve"> </w:t>
      </w:r>
      <w:r>
        <w:rPr>
          <w:rStyle w:val="VerbatimChar"/>
        </w:rPr>
        <w:t xml:space="preserve">10-srs.md</w:t>
      </w:r>
      <w:r>
        <w:t xml:space="preserve"> </w:t>
      </w:r>
      <w:r>
        <w:t xml:space="preserve">|</w:t>
      </w:r>
      <w:r>
        <w:t xml:space="preserve"> </w:t>
      </w:r>
      <w:r>
        <w:t xml:space="preserve">| Design |</w:t>
      </w:r>
      <w:r>
        <w:t xml:space="preserve"> </w:t>
      </w:r>
      <w:r>
        <w:rPr>
          <w:rStyle w:val="VerbatimChar"/>
        </w:rPr>
        <w:t xml:space="preserve">09-system-design.md</w:t>
      </w:r>
      <w:r>
        <w:t xml:space="preserve"> </w:t>
      </w:r>
      <w:r>
        <w:t xml:space="preserve">|</w:t>
      </w:r>
      <w:r>
        <w:t xml:space="preserve"> </w:t>
      </w:r>
      <w:r>
        <w:t xml:space="preserve">| Testing |</w:t>
      </w:r>
      <w:r>
        <w:t xml:space="preserve"> </w:t>
      </w:r>
      <w:r>
        <w:rPr>
          <w:rStyle w:val="VerbatimChar"/>
        </w:rPr>
        <w:t xml:space="preserve">11-testing-report.md</w:t>
      </w:r>
      <w:r>
        <w:t xml:space="preserve"> </w:t>
      </w:r>
      <w:r>
        <w:t xml:space="preserve">|</w:t>
      </w:r>
      <w:r>
        <w:t xml:space="preserve"> </w:t>
      </w:r>
      <w:r>
        <w:t xml:space="preserve">| Debt |</w:t>
      </w:r>
      <w:r>
        <w:t xml:space="preserve"> </w:t>
      </w:r>
      <w:r>
        <w:rPr>
          <w:rStyle w:val="VerbatimChar"/>
        </w:rPr>
        <w:t xml:space="preserve">08-technical-debt.md</w:t>
      </w:r>
      <w:r>
        <w:t xml:space="preserve"> </w:t>
      </w:r>
      <w:r>
        <w:t xml:space="preserve">|</w:t>
      </w:r>
      <w:r>
        <w:t xml:space="preserve"> </w:t>
      </w:r>
      <w:r>
        <w:t xml:space="preserve">| Estimation |</w:t>
      </w:r>
      <w:r>
        <w:t xml:space="preserve"> </w:t>
      </w:r>
      <w:r>
        <w:rPr>
          <w:rStyle w:val="VerbatimChar"/>
        </w:rPr>
        <w:t xml:space="preserve">06-effort-estimation.md</w:t>
      </w:r>
      <w:r>
        <w:t xml:space="preserve"> </w:t>
      </w:r>
      <w:r>
        <w:t xml:space="preserve">|</w:t>
      </w:r>
      <w:r>
        <w:t xml:space="preserve"> </w:t>
      </w:r>
      <w:r>
        <w:t xml:space="preserve">| Evolution |</w:t>
      </w:r>
      <w:r>
        <w:t xml:space="preserve"> </w:t>
      </w:r>
      <w:r>
        <w:rPr>
          <w:rStyle w:val="VerbatimChar"/>
        </w:rPr>
        <w:t xml:space="preserve">12-maintenance-and-evolution.md</w:t>
      </w:r>
      <w:r>
        <w:t xml:space="preserve"> </w:t>
      </w:r>
      <w:r>
        <w:t xml:space="preserve">|</w:t>
      </w:r>
      <w:r>
        <w:t xml:space="preserve"> </w:t>
      </w:r>
      <w:r>
        <w:t xml:space="preserve">| Manual |</w:t>
      </w:r>
      <w:r>
        <w:t xml:space="preserve"> </w:t>
      </w:r>
      <w:r>
        <w:rPr>
          <w:rStyle w:val="VerbatimChar"/>
        </w:rPr>
        <w:t xml:space="preserve">13-user-manual.md</w:t>
      </w:r>
      <w:r>
        <w:t xml:space="preserve"> </w:t>
      </w:r>
      <w:r>
        <w:t xml:space="preserve">|</w:t>
      </w:r>
      <w:r>
        <w:t xml:space="preserve"> </w:t>
      </w:r>
      <w:r>
        <w:t xml:space="preserve">| Decisions |</w:t>
      </w:r>
      <w:r>
        <w:t xml:space="preserve"> </w:t>
      </w:r>
      <w:r>
        <w:rPr>
          <w:rStyle w:val="VerbatimChar"/>
        </w:rPr>
        <w:t xml:space="preserve">05-decision-log.md</w:t>
      </w:r>
      <w:r>
        <w:t xml:space="preserve"> </w:t>
      </w:r>
      <w:r>
        <w:t xml:space="preserve">(</w:t>
      </w:r>
      <w:r>
        <w:rPr>
          <w:rStyle w:val="VerbatimChar"/>
        </w:rPr>
        <w:t xml:space="preserve">D-nnn</w:t>
      </w:r>
      <w:r>
        <w:t xml:space="preserve">) |</w:t>
      </w:r>
    </w:p>
    <w:p>
      <w:r>
        <w:pict>
          <v:rect style="width:0;height:1.5pt" o:hralign="center" o:hrstd="t" o:hr="t"/>
        </w:pict>
      </w:r>
    </w:p>
    <w:p>
      <w:pPr>
        <w:pStyle w:val="Heading2"/>
      </w:pPr>
      <w:bookmarkStart w:id="20" w:name="title"/>
      <w:r>
        <w:t xml:space="preserve">1. Title</w:t>
      </w:r>
      <w:bookmarkEnd w:id="20"/>
    </w:p>
    <w:p>
      <w:pPr>
        <w:pStyle w:val="FirstParagraph"/>
      </w:pPr>
      <w:r>
        <w:rPr>
          <w:b/>
        </w:rPr>
        <w:t xml:space="preserve">Nkwanta: A Road Incident Reporting and Dispatch System for Urban Ghana.</w:t>
      </w:r>
    </w:p>
    <w:p>
      <w:pPr>
        <w:pStyle w:val="BodyText"/>
      </w:pPr>
      <w:r>
        <w:rPr>
          <w:i/>
        </w:rPr>
        <w:t xml:space="preserve">Nkwanta</w:t>
      </w:r>
      <w:r>
        <w:t xml:space="preserve"> </w:t>
      </w:r>
      <w:r>
        <w:t xml:space="preserve">is Twi for</w:t>
      </w:r>
      <w:r>
        <w:t xml:space="preserve"> </w:t>
      </w:r>
      <w:r>
        <w:rPr>
          <w:i/>
        </w:rPr>
        <w:t xml:space="preserve">junction</w:t>
      </w:r>
      <w:r>
        <w:t xml:space="preserve"> </w:t>
      </w:r>
      <w:r>
        <w:t xml:space="preserve">— the place where roads meet, and where they block.</w:t>
      </w:r>
    </w:p>
    <w:p>
      <w:r>
        <w:pict>
          <v:rect style="width:0;height:1.5pt" o:hralign="center" o:hrstd="t" o:hr="t"/>
        </w:pict>
      </w:r>
    </w:p>
    <w:p>
      <w:pPr>
        <w:pStyle w:val="Heading2"/>
      </w:pPr>
      <w:bookmarkStart w:id="21" w:name="problem-statement"/>
      <w:r>
        <w:t xml:space="preserve">2. Problem statement</w:t>
      </w:r>
      <w:bookmarkEnd w:id="21"/>
    </w:p>
    <w:p>
      <w:pPr>
        <w:pStyle w:val="FirstParagraph"/>
      </w:pPr>
      <w:r>
        <w:t xml:space="preserve">When a road in Accra is blocked, the information exists — dozens of people are sitting in</w:t>
      </w:r>
      <w:r>
        <w:t xml:space="preserve"> </w:t>
      </w:r>
      <w:r>
        <w:t xml:space="preserve">it — and there is no path from those people to anyone who can act. A commuter three</w:t>
      </w:r>
      <w:r>
        <w:t xml:space="preserve"> </w:t>
      </w:r>
      <w:r>
        <w:t xml:space="preserve">kilometres back learns about it by arriving. A traffic control officer learns about it from</w:t>
      </w:r>
      <w:r>
        <w:t xml:space="preserve"> </w:t>
      </w:r>
      <w:r>
        <w:t xml:space="preserve">scattered phone calls, with no way to tell six calls about one accident from six separate</w:t>
      </w:r>
      <w:r>
        <w:t xml:space="preserve"> </w:t>
      </w:r>
      <w:r>
        <w:t xml:space="preserve">accidents.</w:t>
      </w:r>
    </w:p>
    <w:p>
      <w:pPr>
        <w:pStyle w:val="BodyText"/>
      </w:pPr>
      <w:r>
        <w:t xml:space="preserve">Two failures, and they are the same failure:</w:t>
      </w:r>
      <w:r>
        <w:t xml:space="preserve"> </w:t>
      </w:r>
      <w:r>
        <w:rPr>
          <w:b/>
        </w:rPr>
        <w:t xml:space="preserve">the information is present and unusable.</w:t>
      </w:r>
    </w:p>
    <w:p>
      <w:pPr>
        <w:pStyle w:val="BodyText"/>
      </w:pPr>
      <w:r>
        <w:t xml:space="preserve">Three things make it hard rather than merely tedious:</w:t>
      </w:r>
    </w:p>
    <w:p>
      <w:pPr>
        <w:numPr>
          <w:ilvl w:val="0"/>
          <w:numId w:val="1001"/>
        </w:numPr>
        <w:pStyle w:val="Compact"/>
      </w:pPr>
      <w:r>
        <w:rPr>
          <w:b/>
        </w:rPr>
        <w:t xml:space="preserve">Reports arrive in no controlled order</w:t>
      </w:r>
      <w:r>
        <w:t xml:space="preserve">, from phones with different signal, some twice.</w:t>
      </w:r>
    </w:p>
    <w:p>
      <w:pPr>
        <w:numPr>
          <w:ilvl w:val="0"/>
          <w:numId w:val="1001"/>
        </w:numPr>
        <w:pStyle w:val="Compact"/>
      </w:pPr>
      <w:r>
        <w:rPr>
          <w:b/>
        </w:rPr>
        <w:t xml:space="preserve">Not every report is true.</w:t>
      </w:r>
      <w:r>
        <w:t xml:space="preserve"> </w:t>
      </w:r>
      <w:r>
        <w:t xml:space="preserve">The system lets people report other people to the police,</w:t>
      </w:r>
      <w:r>
        <w:t xml:space="preserve"> </w:t>
      </w:r>
      <w:r>
        <w:t xml:space="preserve">which makes it a harassment vector unless something defends against it.</w:t>
      </w:r>
    </w:p>
    <w:p>
      <w:pPr>
        <w:numPr>
          <w:ilvl w:val="0"/>
          <w:numId w:val="1001"/>
        </w:numPr>
        <w:pStyle w:val="Compact"/>
      </w:pPr>
      <w:r>
        <w:rPr>
          <w:b/>
        </w:rPr>
        <w:t xml:space="preserve">A warning that arrives late is worth nothing</w:t>
      </w:r>
      <w:r>
        <w:t xml:space="preserve">, so the pipeline cannot be allowed to</w:t>
      </w:r>
      <w:r>
        <w:t xml:space="preserve"> </w:t>
      </w:r>
      <w:r>
        <w:t xml:space="preserve">silently drop work.</w:t>
      </w:r>
    </w:p>
    <w:p>
      <w:r>
        <w:pict>
          <v:rect style="width:0;height:1.5pt" o:hralign="center" o:hrstd="t" o:hr="t"/>
        </w:pict>
      </w:r>
    </w:p>
    <w:p>
      <w:pPr>
        <w:pStyle w:val="Heading2"/>
      </w:pPr>
      <w:bookmarkStart w:id="22" w:name="aim-and-objectives"/>
      <w:r>
        <w:t xml:space="preserve">3. Aim and objectives</w:t>
      </w:r>
      <w:bookmarkEnd w:id="22"/>
    </w:p>
    <w:p>
      <w:pPr>
        <w:pStyle w:val="FirstParagraph"/>
      </w:pPr>
      <w:r>
        <w:rPr>
          <w:b/>
        </w:rPr>
        <w:t xml:space="preserve">Aim.</w:t>
      </w:r>
      <w:r>
        <w:t xml:space="preserve"> </w:t>
      </w:r>
      <w:r>
        <w:t xml:space="preserve">Turn scattered reports from road users into a single, believable, actionable</w:t>
      </w:r>
      <w:r>
        <w:t xml:space="preserve"> </w:t>
      </w:r>
      <w:r>
        <w:t xml:space="preserve">picture of what is blocking the roads — and put that picture in front of both the commuter</w:t>
      </w:r>
      <w:r>
        <w:t xml:space="preserve"> </w:t>
      </w:r>
      <w:r>
        <w:t xml:space="preserve">about to set out and the officer who can send someone.</w:t>
      </w:r>
    </w:p>
    <w:p>
      <w:pPr>
        <w:pStyle w:val="BodyText"/>
      </w:pPr>
      <w:r>
        <w:rPr>
          <w:b/>
        </w:rPr>
        <w:t xml:space="preserve">Objectives.</w:t>
      </w:r>
    </w:p>
    <w:tbl>
      <w:tblPr>
        <w:tblStyle w:val="TableGrid"/>
        <w:tblW w:type="dxa" w:w="9029"/>
        <w:tblLayout w:type="fixed"/>
        <w:tblLook w:firstRow="1"/>
      </w:tblPr>
      <w:tblGrid>
        <w:gridCol w:w="620"/>
        <w:gridCol w:w="6869"/>
        <w:gridCol w:w="1540"/>
      </w:tblGrid>
      <w:tr>
        <w:trPr>
          <w:cnfStyle w:firstRow="1"/>
        </w:trPr>
        <w:tc>
          <w:tcPr>
            <w:tcW w:type="dxa" w:w="620"/>
            <w:tcBorders>
              <w:bottom w:val="single"/>
            </w:tcBorders>
            <w:vAlign w:val="bottom"/>
          </w:tcPr>
          <w:p>
            <w:pPr>
              <w:pStyle w:val="Compact"/>
              <w:jc w:val="left"/>
            </w:pPr>
            <w:r>
              <w:t xml:space="preserve">#</w:t>
            </w:r>
          </w:p>
        </w:tc>
        <w:tc>
          <w:tcPr>
            <w:tcW w:type="dxa" w:w="6869"/>
            <w:tcBorders>
              <w:bottom w:val="single"/>
            </w:tcBorders>
            <w:vAlign w:val="bottom"/>
          </w:tcPr>
          <w:p>
            <w:pPr>
              <w:pStyle w:val="Compact"/>
              <w:jc w:val="left"/>
            </w:pPr>
            <w:r>
              <w:t xml:space="preserve">Objective</w:t>
            </w:r>
          </w:p>
        </w:tc>
        <w:tc>
          <w:tcPr>
            <w:tcW w:type="dxa" w:w="1540"/>
            <w:tcBorders>
              <w:bottom w:val="single"/>
            </w:tcBorders>
            <w:vAlign w:val="bottom"/>
          </w:tcPr>
          <w:p>
            <w:pPr>
              <w:pStyle w:val="Compact"/>
              <w:jc w:val="left"/>
            </w:pPr>
            <w:r>
              <w:t xml:space="preserve">Where it is met</w:t>
            </w:r>
          </w:p>
        </w:tc>
      </w:tr>
      <w:tr>
        <w:tc>
          <w:tcPr>
            <w:tcW w:type="dxa" w:w="620"/>
          </w:tcPr>
          <w:p>
            <w:pPr>
              <w:pStyle w:val="Compact"/>
              <w:jc w:val="left"/>
            </w:pPr>
            <w:r>
              <w:t xml:space="preserve">1</w:t>
            </w:r>
          </w:p>
        </w:tc>
        <w:tc>
          <w:tcPr>
            <w:tcW w:type="dxa" w:w="6869"/>
          </w:tcPr>
          <w:p>
            <w:pPr>
              <w:pStyle w:val="Compact"/>
              <w:jc w:val="left"/>
            </w:pPr>
            <w:r>
              <w:t xml:space="preserve">Capture typed, located, timestamped reports from ordinary road users, safely and offline-tolerantly</w:t>
            </w:r>
          </w:p>
        </w:tc>
        <w:tc>
          <w:tcPr>
            <w:tcW w:type="dxa" w:w="1540"/>
          </w:tcPr>
          <w:p>
            <w:pPr>
              <w:pStyle w:val="Compact"/>
              <w:jc w:val="left"/>
            </w:pPr>
            <w:r>
              <w:t xml:space="preserve">SRS Section 3.2</w:t>
            </w:r>
          </w:p>
        </w:tc>
      </w:tr>
      <w:tr>
        <w:tc>
          <w:tcPr>
            <w:tcW w:type="dxa" w:w="620"/>
          </w:tcPr>
          <w:p>
            <w:pPr>
              <w:pStyle w:val="Compact"/>
              <w:jc w:val="left"/>
            </w:pPr>
            <w:r>
              <w:t xml:space="preserve">2</w:t>
            </w:r>
          </w:p>
        </w:tc>
        <w:tc>
          <w:tcPr>
            <w:tcW w:type="dxa" w:w="6869"/>
          </w:tcPr>
          <w:p>
            <w:pPr>
              <w:pStyle w:val="Compact"/>
              <w:jc w:val="left"/>
            </w:pPr>
            <w:r>
              <w:t xml:space="preserve">Group reports describing one real event,</w:t>
            </w:r>
            <w:r>
              <w:t xml:space="preserve"> </w:t>
            </w:r>
            <w:r>
              <w:rPr>
                <w:b/>
              </w:rPr>
              <w:t xml:space="preserve">independent of arrival order</w:t>
            </w:r>
          </w:p>
        </w:tc>
        <w:tc>
          <w:tcPr>
            <w:tcW w:type="dxa" w:w="1540"/>
          </w:tcPr>
          <w:p>
            <w:pPr>
              <w:pStyle w:val="Compact"/>
              <w:jc w:val="left"/>
            </w:pPr>
            <w:r>
              <w:t xml:space="preserve">SRS FR-19, FR-20</w:t>
            </w:r>
          </w:p>
        </w:tc>
      </w:tr>
      <w:tr>
        <w:tc>
          <w:tcPr>
            <w:tcW w:type="dxa" w:w="620"/>
          </w:tcPr>
          <w:p>
            <w:pPr>
              <w:pStyle w:val="Compact"/>
              <w:jc w:val="left"/>
            </w:pPr>
            <w:r>
              <w:t xml:space="preserve">3</w:t>
            </w:r>
          </w:p>
        </w:tc>
        <w:tc>
          <w:tcPr>
            <w:tcW w:type="dxa" w:w="6869"/>
          </w:tcPr>
          <w:p>
            <w:pPr>
              <w:pStyle w:val="Compact"/>
              <w:jc w:val="left"/>
            </w:pPr>
            <w:r>
              <w:t xml:space="preserve">Score believability from reporter track record, decaying with age</w:t>
            </w:r>
          </w:p>
        </w:tc>
        <w:tc>
          <w:tcPr>
            <w:tcW w:type="dxa" w:w="1540"/>
          </w:tcPr>
          <w:p>
            <w:pPr>
              <w:pStyle w:val="Compact"/>
              <w:jc w:val="left"/>
            </w:pPr>
            <w:r>
              <w:t xml:space="preserve">SRS FR-21–FR-24</w:t>
            </w:r>
          </w:p>
        </w:tc>
      </w:tr>
      <w:tr>
        <w:tc>
          <w:tcPr>
            <w:tcW w:type="dxa" w:w="620"/>
          </w:tcPr>
          <w:p>
            <w:pPr>
              <w:pStyle w:val="Compact"/>
              <w:jc w:val="left"/>
            </w:pPr>
            <w:r>
              <w:t xml:space="preserve">4</w:t>
            </w:r>
          </w:p>
        </w:tc>
        <w:tc>
          <w:tcPr>
            <w:tcW w:type="dxa" w:w="6869"/>
          </w:tcPr>
          <w:p>
            <w:pPr>
              <w:pStyle w:val="Compact"/>
              <w:jc w:val="left"/>
            </w:pPr>
            <w:r>
              <w:t xml:space="preserve">Warn commuters on affected routes, exactly once each</w:t>
            </w:r>
          </w:p>
        </w:tc>
        <w:tc>
          <w:tcPr>
            <w:tcW w:type="dxa" w:w="1540"/>
          </w:tcPr>
          <w:p>
            <w:pPr>
              <w:pStyle w:val="Compact"/>
              <w:jc w:val="left"/>
            </w:pPr>
            <w:r>
              <w:t xml:space="preserve">SRS FR-35–FR-40</w:t>
            </w:r>
          </w:p>
        </w:tc>
      </w:tr>
      <w:tr>
        <w:tc>
          <w:tcPr>
            <w:tcW w:type="dxa" w:w="620"/>
          </w:tcPr>
          <w:p>
            <w:pPr>
              <w:pStyle w:val="Compact"/>
              <w:jc w:val="left"/>
            </w:pPr>
            <w:r>
              <w:t xml:space="preserve">5</w:t>
            </w:r>
          </w:p>
        </w:tc>
        <w:tc>
          <w:tcPr>
            <w:tcW w:type="dxa" w:w="6869"/>
          </w:tcPr>
          <w:p>
            <w:pPr>
              <w:pStyle w:val="Compact"/>
              <w:jc w:val="left"/>
            </w:pPr>
            <w:r>
              <w:t xml:space="preserve">Give officers a ranked queue whose scores can be interrogated, not just read</w:t>
            </w:r>
          </w:p>
        </w:tc>
        <w:tc>
          <w:tcPr>
            <w:tcW w:type="dxa" w:w="1540"/>
          </w:tcPr>
          <w:p>
            <w:pPr>
              <w:pStyle w:val="Compact"/>
              <w:jc w:val="left"/>
            </w:pPr>
            <w:r>
              <w:t xml:space="preserve">SRS FR-29</w:t>
            </w:r>
          </w:p>
        </w:tc>
      </w:tr>
      <w:tr>
        <w:tc>
          <w:tcPr>
            <w:tcW w:type="dxa" w:w="620"/>
          </w:tcPr>
          <w:p>
            <w:pPr>
              <w:pStyle w:val="Compact"/>
              <w:jc w:val="left"/>
            </w:pPr>
            <w:r>
              <w:t xml:space="preserve">6</w:t>
            </w:r>
          </w:p>
        </w:tc>
        <w:tc>
          <w:tcPr>
            <w:tcW w:type="dxa" w:w="6869"/>
          </w:tcPr>
          <w:p>
            <w:pPr>
              <w:pStyle w:val="Compact"/>
              <w:jc w:val="left"/>
            </w:pPr>
            <w:r>
              <w:t xml:space="preserve">Defend against false reporting without exposing either party</w:t>
            </w:r>
          </w:p>
        </w:tc>
        <w:tc>
          <w:tcPr>
            <w:tcW w:type="dxa" w:w="1540"/>
          </w:tcPr>
          <w:p>
            <w:pPr>
              <w:pStyle w:val="Compact"/>
              <w:jc w:val="left"/>
            </w:pPr>
            <w:r>
              <w:t xml:space="preserve">NFR-04, NFR-04a</w:t>
            </w:r>
          </w:p>
        </w:tc>
      </w:tr>
      <w:tr>
        <w:tc>
          <w:tcPr>
            <w:tcW w:type="dxa" w:w="620"/>
          </w:tcPr>
          <w:p>
            <w:pPr>
              <w:pStyle w:val="Compact"/>
              <w:jc w:val="left"/>
            </w:pPr>
            <w:r>
              <w:t xml:space="preserve">7</w:t>
            </w:r>
          </w:p>
        </w:tc>
        <w:tc>
          <w:tcPr>
            <w:tcW w:type="dxa" w:w="6869"/>
          </w:tcPr>
          <w:p>
            <w:pPr>
              <w:pStyle w:val="Compact"/>
              <w:jc w:val="left"/>
            </w:pPr>
            <w:r>
              <w:t xml:space="preserve">Guarantee that saving a report and queueing its warnings cannot come apart</w:t>
            </w:r>
          </w:p>
        </w:tc>
        <w:tc>
          <w:tcPr>
            <w:tcW w:type="dxa" w:w="1540"/>
          </w:tcPr>
          <w:p>
            <w:pPr>
              <w:pStyle w:val="Compact"/>
              <w:jc w:val="left"/>
            </w:pPr>
            <w:r>
              <w:t xml:space="preserve">SRS FR-12</w:t>
            </w:r>
          </w:p>
        </w:tc>
      </w:tr>
    </w:tbl>
    <w:p>
      <w:r>
        <w:pict>
          <v:rect style="width:0;height:1.5pt" o:hralign="center" o:hrstd="t" o:hr="t"/>
        </w:pict>
      </w:r>
    </w:p>
    <w:p>
      <w:pPr>
        <w:pStyle w:val="Heading2"/>
      </w:pPr>
      <w:bookmarkStart w:id="23" w:name="stakeholders"/>
      <w:r>
        <w:t xml:space="preserve">4. Stakeholders</w:t>
      </w:r>
      <w:bookmarkEnd w:id="23"/>
    </w:p>
    <w:tbl>
      <w:tblPr>
        <w:tblStyle w:val="TableGrid"/>
        <w:tblW w:type="dxa" w:w="9029"/>
        <w:tblLayout w:type="fixed"/>
        <w:tblLook w:firstRow="1"/>
      </w:tblPr>
      <w:tblGrid>
        <w:gridCol w:w="2013"/>
        <w:gridCol w:w="2468"/>
        <w:gridCol w:w="4548"/>
      </w:tblGrid>
      <w:tr>
        <w:trPr>
          <w:cnfStyle w:firstRow="1"/>
        </w:trPr>
        <w:tc>
          <w:tcPr>
            <w:tcW w:type="dxa" w:w="2013"/>
            <w:tcBorders>
              <w:bottom w:val="single"/>
            </w:tcBorders>
            <w:vAlign w:val="bottom"/>
          </w:tcPr>
          <w:p>
            <w:pPr>
              <w:pStyle w:val="Compact"/>
              <w:jc w:val="left"/>
            </w:pPr>
            <w:r>
              <w:t xml:space="preserve">Stakeholder</w:t>
            </w:r>
          </w:p>
        </w:tc>
        <w:tc>
          <w:tcPr>
            <w:tcW w:type="dxa" w:w="2468"/>
            <w:tcBorders>
              <w:bottom w:val="single"/>
            </w:tcBorders>
            <w:vAlign w:val="bottom"/>
          </w:tcPr>
          <w:p>
            <w:pPr>
              <w:pStyle w:val="Compact"/>
              <w:jc w:val="left"/>
            </w:pPr>
            <w:r>
              <w:t xml:space="preserve">Interest</w:t>
            </w:r>
          </w:p>
        </w:tc>
        <w:tc>
          <w:tcPr>
            <w:tcW w:type="dxa" w:w="4548"/>
            <w:tcBorders>
              <w:bottom w:val="single"/>
            </w:tcBorders>
            <w:vAlign w:val="bottom"/>
          </w:tcPr>
          <w:p>
            <w:pPr>
              <w:pStyle w:val="Compact"/>
              <w:jc w:val="left"/>
            </w:pPr>
            <w:r>
              <w:t xml:space="preserve">Influence on the design</w:t>
            </w:r>
          </w:p>
        </w:tc>
      </w:tr>
      <w:tr>
        <w:tc>
          <w:tcPr>
            <w:tcW w:type="dxa" w:w="2013"/>
          </w:tcPr>
          <w:p>
            <w:pPr>
              <w:pStyle w:val="Compact"/>
              <w:jc w:val="left"/>
            </w:pPr>
            <w:r>
              <w:rPr>
                <w:b/>
              </w:rPr>
              <w:t xml:space="preserve">Commuters and motorists</w:t>
            </w:r>
          </w:p>
        </w:tc>
        <w:tc>
          <w:tcPr>
            <w:tcW w:type="dxa" w:w="2468"/>
          </w:tcPr>
          <w:p>
            <w:pPr>
              <w:pStyle w:val="Compact"/>
              <w:jc w:val="left"/>
            </w:pPr>
            <w:r>
              <w:t xml:space="preserve">Know before setting out</w:t>
            </w:r>
          </w:p>
        </w:tc>
        <w:tc>
          <w:tcPr>
            <w:tcW w:type="dxa" w:w="4548"/>
          </w:tcPr>
          <w:p>
            <w:pPr>
              <w:pStyle w:val="Compact"/>
              <w:jc w:val="left"/>
            </w:pPr>
            <w:r>
              <w:t xml:space="preserve">The public map needs no account; the driver-facing view is read-only (NFR-03)</w:t>
            </w:r>
          </w:p>
        </w:tc>
      </w:tr>
      <w:tr>
        <w:tc>
          <w:tcPr>
            <w:tcW w:type="dxa" w:w="2013"/>
          </w:tcPr>
          <w:p>
            <w:pPr>
              <w:pStyle w:val="Compact"/>
              <w:jc w:val="left"/>
            </w:pPr>
            <w:r>
              <w:rPr>
                <w:b/>
              </w:rPr>
              <w:t xml:space="preserve">Traffic control officers (MTTD)</w:t>
            </w:r>
          </w:p>
        </w:tc>
        <w:tc>
          <w:tcPr>
            <w:tcW w:type="dxa" w:w="2468"/>
          </w:tcPr>
          <w:p>
            <w:pPr>
              <w:pStyle w:val="Compact"/>
              <w:jc w:val="left"/>
            </w:pPr>
            <w:r>
              <w:t xml:space="preserve">A queue worth acting on</w:t>
            </w:r>
          </w:p>
        </w:tc>
        <w:tc>
          <w:tcPr>
            <w:tcW w:type="dxa" w:w="4548"/>
          </w:tcPr>
          <w:p>
            <w:pPr>
              <w:pStyle w:val="Compact"/>
              <w:jc w:val="left"/>
            </w:pPr>
            <w:r>
              <w:rPr>
                <w:b/>
              </w:rPr>
              <w:t xml:space="preserve">Primary actor.</w:t>
            </w:r>
            <w:r>
              <w:t xml:space="preserve"> </w:t>
            </w:r>
            <w:r>
              <w:t xml:space="preserve">The dispatch queue is the core screen</w:t>
            </w:r>
          </w:p>
        </w:tc>
      </w:tr>
      <w:tr>
        <w:tc>
          <w:tcPr>
            <w:tcW w:type="dxa" w:w="2013"/>
          </w:tcPr>
          <w:p>
            <w:pPr>
              <w:pStyle w:val="Compact"/>
              <w:jc w:val="left"/>
            </w:pPr>
            <w:r>
              <w:rPr>
                <w:b/>
              </w:rPr>
              <w:t xml:space="preserve">Traffic wardens</w:t>
            </w:r>
          </w:p>
        </w:tc>
        <w:tc>
          <w:tcPr>
            <w:tcW w:type="dxa" w:w="2468"/>
          </w:tcPr>
          <w:p>
            <w:pPr>
              <w:pStyle w:val="Compact"/>
              <w:jc w:val="left"/>
            </w:pPr>
            <w:r>
              <w:t xml:space="preserve">Clear instructions, and to be believed</w:t>
            </w:r>
          </w:p>
        </w:tc>
        <w:tc>
          <w:tcPr>
            <w:tcW w:type="dxa" w:w="4548"/>
          </w:tcPr>
          <w:p>
            <w:pPr>
              <w:pStyle w:val="Compact"/>
              <w:jc w:val="left"/>
            </w:pPr>
            <w:r>
              <w:t xml:space="preserve">Resolution feeds reputation — the loop closes here</w:t>
            </w:r>
          </w:p>
        </w:tc>
      </w:tr>
      <w:tr>
        <w:tc>
          <w:tcPr>
            <w:tcW w:type="dxa" w:w="2013"/>
          </w:tcPr>
          <w:p>
            <w:pPr>
              <w:pStyle w:val="Compact"/>
              <w:jc w:val="left"/>
            </w:pPr>
            <w:r>
              <w:rPr>
                <w:b/>
              </w:rPr>
              <w:t xml:space="preserve">Reported parties</w:t>
            </w:r>
          </w:p>
        </w:tc>
        <w:tc>
          <w:tcPr>
            <w:tcW w:type="dxa" w:w="2468"/>
          </w:tcPr>
          <w:p>
            <w:pPr>
              <w:pStyle w:val="Compact"/>
              <w:jc w:val="left"/>
            </w:pPr>
            <w:r>
              <w:t xml:space="preserve">Not to be publicly accused</w:t>
            </w:r>
          </w:p>
        </w:tc>
        <w:tc>
          <w:tcPr>
            <w:tcW w:type="dxa" w:w="4548"/>
          </w:tcPr>
          <w:p>
            <w:pPr>
              <w:pStyle w:val="Compact"/>
              <w:jc w:val="left"/>
            </w:pPr>
            <w:r>
              <w:t xml:space="preserve">NFR-04: never identified. No field records them</w:t>
            </w:r>
          </w:p>
        </w:tc>
      </w:tr>
      <w:tr>
        <w:tc>
          <w:tcPr>
            <w:tcW w:type="dxa" w:w="2013"/>
          </w:tcPr>
          <w:p>
            <w:pPr>
              <w:pStyle w:val="Compact"/>
              <w:jc w:val="left"/>
            </w:pPr>
            <w:r>
              <w:rPr>
                <w:b/>
              </w:rPr>
              <w:t xml:space="preserve">Reporters</w:t>
            </w:r>
          </w:p>
        </w:tc>
        <w:tc>
          <w:tcPr>
            <w:tcW w:type="dxa" w:w="2468"/>
          </w:tcPr>
          <w:p>
            <w:pPr>
              <w:pStyle w:val="Compact"/>
              <w:jc w:val="left"/>
            </w:pPr>
            <w:r>
              <w:t xml:space="preserve">Not to be exposed for reporting</w:t>
            </w:r>
          </w:p>
        </w:tc>
        <w:tc>
          <w:tcPr>
            <w:tcW w:type="dxa" w:w="4548"/>
          </w:tcPr>
          <w:p>
            <w:pPr>
              <w:pStyle w:val="Compact"/>
              <w:jc w:val="left"/>
            </w:pPr>
            <w:r>
              <w:t xml:space="preserve">NFR-04a: voice private by default, withdrawable (D-029)</w:t>
            </w:r>
          </w:p>
        </w:tc>
      </w:tr>
      <w:tr>
        <w:tc>
          <w:tcPr>
            <w:tcW w:type="dxa" w:w="2013"/>
          </w:tcPr>
          <w:p>
            <w:pPr>
              <w:pStyle w:val="Compact"/>
              <w:jc w:val="left"/>
            </w:pPr>
            <w:r>
              <w:rPr>
                <w:b/>
              </w:rPr>
              <w:t xml:space="preserve">Road maintenance agencies</w:t>
            </w:r>
          </w:p>
        </w:tc>
        <w:tc>
          <w:tcPr>
            <w:tcW w:type="dxa" w:w="2468"/>
          </w:tcPr>
          <w:p>
            <w:pPr>
              <w:pStyle w:val="Compact"/>
              <w:jc w:val="left"/>
            </w:pPr>
            <w:r>
              <w:t xml:space="preserve">Structured defect reports</w:t>
            </w:r>
          </w:p>
        </w:tc>
        <w:tc>
          <w:tcPr>
            <w:tcW w:type="dxa" w:w="4548"/>
          </w:tcPr>
          <w:p>
            <w:pPr>
              <w:pStyle w:val="Compact"/>
              <w:jc w:val="left"/>
            </w:pPr>
            <w:r>
              <w:t xml:space="preserve">Report type 6, no separate workflow</w:t>
            </w:r>
          </w:p>
        </w:tc>
      </w:tr>
      <w:tr>
        <w:tc>
          <w:tcPr>
            <w:tcW w:type="dxa" w:w="2013"/>
          </w:tcPr>
          <w:p>
            <w:pPr>
              <w:pStyle w:val="Compact"/>
              <w:jc w:val="left"/>
            </w:pPr>
            <w:r>
              <w:rPr>
                <w:b/>
              </w:rPr>
              <w:t xml:space="preserve">Administrators</w:t>
            </w:r>
          </w:p>
        </w:tc>
        <w:tc>
          <w:tcPr>
            <w:tcW w:type="dxa" w:w="2468"/>
          </w:tcPr>
          <w:p>
            <w:pPr>
              <w:pStyle w:val="Compact"/>
              <w:jc w:val="left"/>
            </w:pPr>
            <w:r>
              <w:t xml:space="preserve">Oversight, abuse control</w:t>
            </w:r>
          </w:p>
        </w:tc>
        <w:tc>
          <w:tcPr>
            <w:tcW w:type="dxa" w:w="4548"/>
          </w:tcPr>
          <w:p>
            <w:pPr>
              <w:pStyle w:val="Compact"/>
              <w:jc w:val="left"/>
            </w:pPr>
            <w:r>
              <w:t xml:space="preserve">Roles assigned only by an admin; nobody self-registers as police</w:t>
            </w:r>
          </w:p>
        </w:tc>
      </w:tr>
    </w:tbl>
    <w:p>
      <w:pPr>
        <w:pStyle w:val="BodyText"/>
      </w:pPr>
      <w:r>
        <w:rPr>
          <w:b/>
        </w:rPr>
        <w:t xml:space="preserve">The primary actor is the officer, not the commuter.</w:t>
      </w:r>
      <w:r>
        <w:t xml:space="preserve"> </w:t>
      </w:r>
      <w:r>
        <w:t xml:space="preserve">Commuters are the sensor network;</w:t>
      </w:r>
      <w:r>
        <w:t xml:space="preserve"> </w:t>
      </w:r>
      <w:r>
        <w:t xml:space="preserve">the officer is the person whose job the system exists to do. That choice decides which</w:t>
      </w:r>
      <w:r>
        <w:t xml:space="preserve"> </w:t>
      </w:r>
      <w:r>
        <w:t xml:space="preserve">screen is the core one, and it makes the system demonstrable without a large user base.</w:t>
      </w:r>
    </w:p>
    <w:p>
      <w:r>
        <w:pict>
          <v:rect style="width:0;height:1.5pt" o:hralign="center" o:hrstd="t" o:hr="t"/>
        </w:pict>
      </w:r>
    </w:p>
    <w:p>
      <w:pPr>
        <w:pStyle w:val="Heading2"/>
      </w:pPr>
      <w:bookmarkStart w:id="24" w:name="requirements-analysis"/>
      <w:r>
        <w:t xml:space="preserve">5. Requirements analysis</w:t>
      </w:r>
      <w:bookmarkEnd w:id="24"/>
    </w:p>
    <w:p>
      <w:pPr>
        <w:pStyle w:val="FirstParagraph"/>
      </w:pPr>
      <w:r>
        <w:t xml:space="preserve">The original brief was a wish-list containing at least three separate products. The</w:t>
      </w:r>
      <w:r>
        <w:t xml:space="preserve"> </w:t>
      </w:r>
      <w:r>
        <w:t xml:space="preserve">analysis that mattered was</w:t>
      </w:r>
      <w:r>
        <w:t xml:space="preserve"> </w:t>
      </w:r>
      <w:r>
        <w:rPr>
          <w:b/>
        </w:rPr>
        <w:t xml:space="preserve">unification</w:t>
      </w:r>
      <w:r>
        <w:t xml:space="preserve">:</w:t>
      </w:r>
    </w:p>
    <w:p>
      <w:pPr>
        <w:pStyle w:val="BlockText"/>
      </w:pPr>
      <w:r>
        <w:t xml:space="preserve">Five items — traffic impediments, accidents, maintenance reports, road-condition reviews,</w:t>
      </w:r>
      <w:r>
        <w:t xml:space="preserve"> </w:t>
      </w:r>
      <w:r>
        <w:t xml:space="preserve">and signal outages needing a warden — collapsed into</w:t>
      </w:r>
      <w:r>
        <w:t xml:space="preserve"> </w:t>
      </w:r>
      <w:r>
        <w:rPr>
          <w:b/>
        </w:rPr>
        <w:t xml:space="preserve">one report pipeline differentiated</w:t>
      </w:r>
      <w:r>
        <w:rPr>
          <w:b/>
        </w:rPr>
        <w:t xml:space="preserve"> </w:t>
      </w:r>
      <w:r>
        <w:rPr>
          <w:b/>
        </w:rPr>
        <w:t xml:space="preserve">only by type.</w:t>
      </w:r>
      <w:r>
        <w:t xml:space="preserve"> </w:t>
      </w:r>
      <w:r>
        <w:t xml:space="preserve">They differ in who acts on them, not in how they are captured, grouped or</w:t>
      </w:r>
      <w:r>
        <w:t xml:space="preserve"> </w:t>
      </w:r>
      <w:r>
        <w:t xml:space="preserve">scored.</w:t>
      </w:r>
    </w:p>
    <w:p>
      <w:pPr>
        <w:pStyle w:val="FirstParagraph"/>
      </w:pPr>
      <w:r>
        <w:t xml:space="preserve">This is the single most important requirements decision in the project. It converted a</w:t>
      </w:r>
      <w:r>
        <w:t xml:space="preserve"> </w:t>
      </w:r>
      <w:r>
        <w:t xml:space="preserve">sprawling brief into one well-engineered core, and it is what made the advanced concept</w:t>
      </w:r>
      <w:r>
        <w:t xml:space="preserve"> </w:t>
      </w:r>
      <w:r>
        <w:t xml:space="preserve">affordable inside 48 hours.</w:t>
      </w:r>
    </w:p>
    <w:p>
      <w:pPr>
        <w:pStyle w:val="BodyText"/>
      </w:pPr>
      <w:r>
        <w:rPr>
          <w:b/>
        </w:rPr>
        <w:t xml:space="preserve">Prioritisation</w:t>
      </w:r>
      <w:r>
        <w:t xml:space="preserve"> </w:t>
      </w:r>
      <w:r>
        <w:t xml:space="preserve">used MoSCoW, and the cuts are recorded with reasoning (SRS Section 6). Four</w:t>
      </w:r>
      <w:r>
        <w:t xml:space="preserve"> </w:t>
      </w:r>
      <w:r>
        <w:t xml:space="preserve">Won’t-haves — ride-sharing, subscription transport, real emergency dispatch, fare</w:t>
      </w:r>
      <w:r>
        <w:t xml:space="preserve"> </w:t>
      </w:r>
      <w:r>
        <w:t xml:space="preserve">adjudication — were each cut for a stated reason, not for lack of time. Ride-sharing alone</w:t>
      </w:r>
      <w:r>
        <w:t xml:space="preserve"> </w:t>
      </w:r>
      <w:r>
        <w:t xml:space="preserve">is a second product: matching, payments, identity, passenger safety, liability, sharing</w:t>
      </w:r>
      <w:r>
        <w:t xml:space="preserve"> </w:t>
      </w:r>
      <w:r>
        <w:t xml:space="preserve">nothing with the report pipeline.</w:t>
      </w:r>
    </w:p>
    <w:p>
      <w:pPr>
        <w:pStyle w:val="BodyText"/>
      </w:pPr>
      <w:r>
        <w:t xml:space="preserve">Two requirements arose from</w:t>
      </w:r>
      <w:r>
        <w:t xml:space="preserve"> </w:t>
      </w:r>
      <w:r>
        <w:rPr>
          <w:i/>
        </w:rPr>
        <w:t xml:space="preserve">reviewing</w:t>
      </w:r>
      <w:r>
        <w:t xml:space="preserve"> </w:t>
      </w:r>
      <w:r>
        <w:t xml:space="preserve">the brief rather than from the brief itself, and</w:t>
      </w:r>
      <w:r>
        <w:t xml:space="preserve"> </w:t>
      </w:r>
      <w:r>
        <w:t xml:space="preserve">both are load-bearing:</w:t>
      </w:r>
      <w:r>
        <w:t xml:space="preserve"> </w:t>
      </w:r>
      <w:r>
        <w:rPr>
          <w:b/>
        </w:rPr>
        <w:t xml:space="preserve">NFR-03</w:t>
      </w:r>
      <w:r>
        <w:t xml:space="preserve"> </w:t>
      </w:r>
      <w:r>
        <w:t xml:space="preserve">(the system must not create the hazard it exists to</w:t>
      </w:r>
      <w:r>
        <w:t xml:space="preserve"> </w:t>
      </w:r>
      <w:r>
        <w:t xml:space="preserve">reduce) and</w:t>
      </w:r>
      <w:r>
        <w:t xml:space="preserve"> </w:t>
      </w:r>
      <w:r>
        <w:rPr>
          <w:b/>
        </w:rPr>
        <w:t xml:space="preserve">NFR-04</w:t>
      </w:r>
      <w:r>
        <w:t xml:space="preserve"> </w:t>
      </w:r>
      <w:r>
        <w:t xml:space="preserve">(the reported party is never identified). A later review found</w:t>
      </w:r>
      <w:r>
        <w:t xml:space="preserve"> </w:t>
      </w:r>
      <w:r>
        <w:t xml:space="preserve">NFR-04 conflated protecting the accused with protecting the accuser, and</w:t>
      </w:r>
      <w:r>
        <w:t xml:space="preserve"> </w:t>
      </w:r>
      <w:r>
        <w:rPr>
          <w:b/>
        </w:rPr>
        <w:t xml:space="preserve">NFR-04a</w:t>
      </w:r>
      <w:r>
        <w:t xml:space="preserve"> </w:t>
      </w:r>
      <w:r>
        <w:t xml:space="preserve">was</w:t>
      </w:r>
      <w:r>
        <w:t xml:space="preserve"> </w:t>
      </w:r>
      <w:r>
        <w:t xml:space="preserve">added — see D-029.</w:t>
      </w:r>
    </w:p>
    <w:p>
      <w:r>
        <w:pict>
          <v:rect style="width:0;height:1.5pt" o:hralign="center" o:hrstd="t" o:hr="t"/>
        </w:pict>
      </w:r>
    </w:p>
    <w:p>
      <w:pPr>
        <w:pStyle w:val="Heading2"/>
      </w:pPr>
      <w:bookmarkStart w:id="25" w:name="software-requirements-specification"/>
      <w:r>
        <w:t xml:space="preserve">6. Software Requirements Specification</w:t>
      </w:r>
      <w:bookmarkEnd w:id="25"/>
    </w:p>
    <w:p>
      <w:pPr>
        <w:pStyle w:val="FirstParagraph"/>
      </w:pPr>
      <w:r>
        <w:rPr>
          <w:b/>
        </w:rPr>
        <w:t xml:space="preserve">Full document:</w:t>
      </w:r>
      <w:r>
        <w:rPr>
          <w:b/>
        </w:rPr>
        <w:t xml:space="preserve"> </w:t>
      </w:r>
      <w:r>
        <w:rPr>
          <w:rStyle w:val="VerbatimChar"/>
          <w:b/>
        </w:rPr>
        <w:t xml:space="preserve">10-srs.md</w:t>
      </w:r>
      <w:r>
        <w:rPr>
          <w:b/>
        </w:rPr>
        <w:t xml:space="preserve">.</w:t>
      </w:r>
    </w:p>
    <w:p>
      <w:pPr>
        <w:pStyle w:val="BodyText"/>
      </w:pPr>
      <w:r>
        <w:t xml:space="preserve">Fifty numbered functional requirements, each with a MoSCoW priority, a status, the module</w:t>
      </w:r>
      <w:r>
        <w:t xml:space="preserve"> </w:t>
      </w:r>
      <w:r>
        <w:t xml:space="preserve">implementing it and the test verifying it. Seven non-functional requirements. Four use</w:t>
      </w:r>
      <w:r>
        <w:t xml:space="preserve"> </w:t>
      </w:r>
      <w:r>
        <w:t xml:space="preserve">cases with alternative flows.</w:t>
      </w:r>
    </w:p>
    <w:tbl>
      <w:tblPr>
        <w:tblStyle w:val="TableGrid"/>
        <w:tblW w:type="dxa" w:w="9029"/>
        <w:tblLayout w:type="fixed"/>
        <w:tblLook w:firstRow="1"/>
      </w:tblPr>
      <w:tblGrid>
        <w:gridCol w:w="6234"/>
        <w:gridCol w:w="2795"/>
      </w:tblGrid>
      <w:tr>
        <w:trPr>
          <w:cnfStyle w:firstRow="1"/>
        </w:trPr>
        <w:tc>
          <w:tcPr>
            <w:tcW w:type="dxa" w:w="6234"/>
            <w:tcBorders>
              <w:bottom w:val="single"/>
            </w:tcBorders>
            <w:vAlign w:val="bottom"/>
          </w:tcPr>
          <w:p>
            <w:pPr>
              <w:pStyle w:val="Compact"/>
              <w:jc w:val="left"/>
            </w:pPr>
            <w:r>
              <w:t xml:space="preserve">Group</w:t>
            </w:r>
          </w:p>
        </w:tc>
        <w:tc>
          <w:tcPr>
            <w:tcW w:type="dxa" w:w="2795"/>
            <w:tcBorders>
              <w:bottom w:val="single"/>
            </w:tcBorders>
            <w:vAlign w:val="bottom"/>
          </w:tcPr>
          <w:p>
            <w:pPr>
              <w:pStyle w:val="Compact"/>
              <w:jc w:val="left"/>
            </w:pPr>
            <w:r>
              <w:t xml:space="preserve">Requirements</w:t>
            </w:r>
          </w:p>
        </w:tc>
      </w:tr>
      <w:tr>
        <w:tc>
          <w:tcPr>
            <w:tcW w:type="dxa" w:w="6234"/>
          </w:tcPr>
          <w:p>
            <w:pPr>
              <w:pStyle w:val="Compact"/>
              <w:jc w:val="left"/>
            </w:pPr>
            <w:r>
              <w:t xml:space="preserve">Accounts and roles</w:t>
            </w:r>
          </w:p>
        </w:tc>
        <w:tc>
          <w:tcPr>
            <w:tcW w:type="dxa" w:w="2795"/>
          </w:tcPr>
          <w:p>
            <w:pPr>
              <w:pStyle w:val="Compact"/>
              <w:jc w:val="left"/>
            </w:pPr>
            <w:r>
              <w:t xml:space="preserve">FR-01 – FR-08</w:t>
            </w:r>
          </w:p>
        </w:tc>
      </w:tr>
      <w:tr>
        <w:tc>
          <w:tcPr>
            <w:tcW w:type="dxa" w:w="6234"/>
          </w:tcPr>
          <w:p>
            <w:pPr>
              <w:pStyle w:val="Compact"/>
              <w:jc w:val="left"/>
            </w:pPr>
            <w:r>
              <w:t xml:space="preserve">Reporting</w:t>
            </w:r>
          </w:p>
        </w:tc>
        <w:tc>
          <w:tcPr>
            <w:tcW w:type="dxa" w:w="2795"/>
          </w:tcPr>
          <w:p>
            <w:pPr>
              <w:pStyle w:val="Compact"/>
              <w:jc w:val="left"/>
            </w:pPr>
            <w:r>
              <w:t xml:space="preserve">FR-09 – FR-18</w:t>
            </w:r>
          </w:p>
        </w:tc>
      </w:tr>
      <w:tr>
        <w:tc>
          <w:tcPr>
            <w:tcW w:type="dxa" w:w="6234"/>
          </w:tcPr>
          <w:p>
            <w:pPr>
              <w:pStyle w:val="Compact"/>
              <w:jc w:val="left"/>
            </w:pPr>
            <w:r>
              <w:t xml:space="preserve">Grouping, scoring, lifecycle</w:t>
            </w:r>
          </w:p>
        </w:tc>
        <w:tc>
          <w:tcPr>
            <w:tcW w:type="dxa" w:w="2795"/>
          </w:tcPr>
          <w:p>
            <w:pPr>
              <w:pStyle w:val="Compact"/>
              <w:jc w:val="left"/>
            </w:pPr>
            <w:r>
              <w:t xml:space="preserve">FR-19 – FR-28</w:t>
            </w:r>
          </w:p>
        </w:tc>
      </w:tr>
      <w:tr>
        <w:tc>
          <w:tcPr>
            <w:tcW w:type="dxa" w:w="6234"/>
          </w:tcPr>
          <w:p>
            <w:pPr>
              <w:pStyle w:val="Compact"/>
              <w:jc w:val="left"/>
            </w:pPr>
            <w:r>
              <w:t xml:space="preserve">Dispatch and reputation</w:t>
            </w:r>
          </w:p>
        </w:tc>
        <w:tc>
          <w:tcPr>
            <w:tcW w:type="dxa" w:w="2795"/>
          </w:tcPr>
          <w:p>
            <w:pPr>
              <w:pStyle w:val="Compact"/>
              <w:jc w:val="left"/>
            </w:pPr>
            <w:r>
              <w:t xml:space="preserve">FR-29 – FR-34</w:t>
            </w:r>
          </w:p>
        </w:tc>
      </w:tr>
      <w:tr>
        <w:tc>
          <w:tcPr>
            <w:tcW w:type="dxa" w:w="6234"/>
          </w:tcPr>
          <w:p>
            <w:pPr>
              <w:pStyle w:val="Compact"/>
              <w:jc w:val="left"/>
            </w:pPr>
            <w:r>
              <w:t xml:space="preserve">Warning commuters</w:t>
            </w:r>
          </w:p>
        </w:tc>
        <w:tc>
          <w:tcPr>
            <w:tcW w:type="dxa" w:w="2795"/>
          </w:tcPr>
          <w:p>
            <w:pPr>
              <w:pStyle w:val="Compact"/>
              <w:jc w:val="left"/>
            </w:pPr>
            <w:r>
              <w:t xml:space="preserve">FR-35 – FR-40</w:t>
            </w:r>
          </w:p>
        </w:tc>
      </w:tr>
      <w:tr>
        <w:tc>
          <w:tcPr>
            <w:tcW w:type="dxa" w:w="6234"/>
          </w:tcPr>
          <w:p>
            <w:pPr>
              <w:pStyle w:val="Compact"/>
              <w:jc w:val="left"/>
            </w:pPr>
            <w:r>
              <w:t xml:space="preserve">Public map and privacy</w:t>
            </w:r>
          </w:p>
        </w:tc>
        <w:tc>
          <w:tcPr>
            <w:tcW w:type="dxa" w:w="2795"/>
          </w:tcPr>
          <w:p>
            <w:pPr>
              <w:pStyle w:val="Compact"/>
              <w:jc w:val="left"/>
            </w:pPr>
            <w:r>
              <w:t xml:space="preserve">FR-41 – FR-46</w:t>
            </w:r>
          </w:p>
        </w:tc>
      </w:tr>
      <w:tr>
        <w:tc>
          <w:tcPr>
            <w:tcW w:type="dxa" w:w="6234"/>
          </w:tcPr>
          <w:p>
            <w:pPr>
              <w:pStyle w:val="Compact"/>
              <w:jc w:val="left"/>
            </w:pPr>
            <w:r>
              <w:t xml:space="preserve">Administration and resilience</w:t>
            </w:r>
          </w:p>
        </w:tc>
        <w:tc>
          <w:tcPr>
            <w:tcW w:type="dxa" w:w="2795"/>
          </w:tcPr>
          <w:p>
            <w:pPr>
              <w:pStyle w:val="Compact"/>
              <w:jc w:val="left"/>
            </w:pPr>
            <w:r>
              <w:t xml:space="preserve">FR-47 – FR-50</w:t>
            </w:r>
          </w:p>
        </w:tc>
      </w:tr>
    </w:tbl>
    <w:p>
      <w:pPr>
        <w:pStyle w:val="BodyText"/>
      </w:pPr>
      <w:r>
        <w:rPr>
          <w:b/>
        </w:rPr>
        <w:t xml:space="preserve">49 of 50 implemented; FR-40 (clearance) is declared Partial.</w:t>
      </w:r>
      <w:r>
        <w:t xml:space="preserve"> </w:t>
      </w:r>
      <w:r>
        <w:t xml:space="preserve">Six of seven</w:t>
      </w:r>
      <w:r>
        <w:t xml:space="preserve"> </w:t>
      </w:r>
      <w:r>
        <w:t xml:space="preserve">non-functional requirements are verified by test; NFR-07 is declared a target rather than a</w:t>
      </w:r>
      <w:r>
        <w:t xml:space="preserve"> </w:t>
      </w:r>
      <w:r>
        <w:t xml:space="preserve">measurement. Both gaps are stated in the specification rather than rounded away.</w:t>
      </w:r>
    </w:p>
    <w:p>
      <w:r>
        <w:pict>
          <v:rect style="width:0;height:1.5pt" o:hralign="center" o:hrstd="t" o:hr="t"/>
        </w:pict>
      </w:r>
    </w:p>
    <w:p>
      <w:pPr>
        <w:pStyle w:val="Heading2"/>
      </w:pPr>
      <w:bookmarkStart w:id="26" w:name="software-effort-estimation"/>
      <w:r>
        <w:t xml:space="preserve">7. Software effort estimation</w:t>
      </w:r>
      <w:bookmarkEnd w:id="26"/>
    </w:p>
    <w:p>
      <w:pPr>
        <w:pStyle w:val="FirstParagraph"/>
      </w:pPr>
      <w:r>
        <w:rPr>
          <w:b/>
        </w:rPr>
        <w:t xml:space="preserve">Full document:</w:t>
      </w:r>
      <w:r>
        <w:rPr>
          <w:b/>
        </w:rPr>
        <w:t xml:space="preserve"> </w:t>
      </w:r>
      <w:r>
        <w:rPr>
          <w:rStyle w:val="VerbatimChar"/>
          <w:b/>
        </w:rPr>
        <w:t xml:space="preserve">06-effort-estimation.md</w:t>
      </w:r>
      <w:r>
        <w:rPr>
          <w:b/>
        </w:rPr>
        <w:t xml:space="preserve">.</w:t>
      </w:r>
    </w:p>
    <w:p>
      <w:pPr>
        <w:pStyle w:val="BodyText"/>
      </w:pPr>
      <w:r>
        <w:t xml:space="preserve">Two techniques, deliberately, because they disagree and the disagreement is informative.</w:t>
      </w:r>
    </w:p>
    <w:tbl>
      <w:tblPr>
        <w:tblStyle w:val="TableGrid"/>
        <w:tblW w:type="dxa" w:w="9029"/>
        <w:tblLayout w:type="fixed"/>
        <w:tblLook w:firstRow="1"/>
      </w:tblPr>
      <w:tblGrid>
        <w:gridCol w:w="3495"/>
        <w:gridCol w:w="5534"/>
      </w:tblGrid>
      <w:tr>
        <w:trPr>
          <w:cnfStyle w:firstRow="1"/>
        </w:trPr>
        <w:tc>
          <w:tcPr>
            <w:tcW w:type="dxa" w:w="3495"/>
            <w:tcBorders>
              <w:bottom w:val="single"/>
            </w:tcBorders>
            <w:vAlign w:val="bottom"/>
          </w:tcPr>
          <w:p>
            <w:pPr>
              <w:pStyle w:val="Compact"/>
              <w:jc w:val="left"/>
            </w:pPr>
            <w:r>
              <w:t xml:space="preserve">Technique</w:t>
            </w:r>
          </w:p>
        </w:tc>
        <w:tc>
          <w:tcPr>
            <w:tcW w:type="dxa" w:w="5534"/>
            <w:tcBorders>
              <w:bottom w:val="single"/>
            </w:tcBorders>
            <w:vAlign w:val="bottom"/>
          </w:tcPr>
          <w:p>
            <w:pPr>
              <w:pStyle w:val="Compact"/>
              <w:jc w:val="left"/>
            </w:pPr>
            <w:r>
              <w:t xml:space="preserve">Result</w:t>
            </w:r>
          </w:p>
        </w:tc>
      </w:tr>
      <w:tr>
        <w:tc>
          <w:tcPr>
            <w:tcW w:type="dxa" w:w="3495"/>
          </w:tcPr>
          <w:p>
            <w:pPr>
              <w:pStyle w:val="Compact"/>
              <w:jc w:val="left"/>
            </w:pPr>
            <w:r>
              <w:rPr>
                <w:b/>
              </w:rPr>
              <w:t xml:space="preserve">Use Case Points</w:t>
            </w:r>
          </w:p>
        </w:tc>
        <w:tc>
          <w:tcPr>
            <w:tcW w:type="dxa" w:w="5534"/>
          </w:tcPr>
          <w:p>
            <w:pPr>
              <w:pStyle w:val="Compact"/>
              <w:jc w:val="left"/>
            </w:pPr>
            <w:r>
              <w:t xml:space="preserve">97.39 UCP →</w:t>
            </w:r>
            <w:r>
              <w:t xml:space="preserve"> </w:t>
            </w:r>
            <w:r>
              <w:rPr>
                <w:b/>
              </w:rPr>
              <w:t xml:space="preserve">1,948 person-hours</w:t>
            </w:r>
          </w:p>
        </w:tc>
      </w:tr>
      <w:tr>
        <w:tc>
          <w:tcPr>
            <w:tcW w:type="dxa" w:w="3495"/>
          </w:tcPr>
          <w:p>
            <w:pPr>
              <w:pStyle w:val="Compact"/>
              <w:jc w:val="left"/>
            </w:pPr>
            <w:r>
              <w:rPr>
                <w:b/>
              </w:rPr>
              <w:t xml:space="preserve">Bottom-up task breakdown</w:t>
            </w:r>
          </w:p>
        </w:tc>
        <w:tc>
          <w:tcPr>
            <w:tcW w:type="dxa" w:w="5534"/>
          </w:tcPr>
          <w:p>
            <w:pPr>
              <w:pStyle w:val="Compact"/>
              <w:jc w:val="left"/>
            </w:pPr>
            <w:r>
              <w:t xml:space="preserve">~64 person-hours for the reduced scope</w:t>
            </w:r>
          </w:p>
        </w:tc>
      </w:tr>
    </w:tbl>
    <w:p>
      <w:pPr>
        <w:pStyle w:val="BodyText"/>
      </w:pPr>
      <w:r>
        <w:rPr>
          <w:b/>
        </w:rPr>
        <w:t xml:space="preserve">The 30× gap is the finding, not an error.</w:t>
      </w:r>
      <w:r>
        <w:t xml:space="preserve"> </w:t>
      </w:r>
      <w:r>
        <w:t xml:space="preserve">UCP is calibrated on commercial projects with</w:t>
      </w:r>
      <w:r>
        <w:t xml:space="preserve"> </w:t>
      </w:r>
      <w:r>
        <w:t xml:space="preserve">teams, handovers, meetings, environments and support. A single developer, working</w:t>
      </w:r>
      <w:r>
        <w:t xml:space="preserve"> </w:t>
      </w:r>
      <w:r>
        <w:t xml:space="preserve">continuously, on a system with no stakeholders to consult and no integration to negotiate,</w:t>
      </w:r>
      <w:r>
        <w:t xml:space="preserve"> </w:t>
      </w:r>
      <w:r>
        <w:t xml:space="preserve">operates in conditions UCP does not model.</w:t>
      </w:r>
    </w:p>
    <w:p>
      <w:pPr>
        <w:pStyle w:val="BodyText"/>
      </w:pPr>
      <w:r>
        <w:rPr>
          <w:b/>
        </w:rPr>
        <w:t xml:space="preserve">What the estimate actually did.</w:t>
      </w:r>
      <w:r>
        <w:t xml:space="preserve"> </w:t>
      </w:r>
      <w:r>
        <w:t xml:space="preserve">It made the cuts non-negotiable. 1,948 hours against 48</w:t>
      </w:r>
      <w:r>
        <w:t xml:space="preserve"> </w:t>
      </w:r>
      <w:r>
        <w:t xml:space="preserve">available says plainly that the brief cannot be built, so the only question is what to</w:t>
      </w:r>
      <w:r>
        <w:t xml:space="preserve"> </w:t>
      </w:r>
      <w:r>
        <w:t xml:space="preserve">remove — and the removals in Section 5 followed from the arithmetic rather than from taste. That</w:t>
      </w:r>
      <w:r>
        <w:t xml:space="preserve"> </w:t>
      </w:r>
      <w:r>
        <w:t xml:space="preserve">is what estimation is for, and it is why it is worth 5 marks.</w:t>
      </w:r>
    </w:p>
    <w:p>
      <w:r>
        <w:pict>
          <v:rect style="width:0;height:1.5pt" o:hralign="center" o:hrstd="t" o:hr="t"/>
        </w:pict>
      </w:r>
    </w:p>
    <w:p>
      <w:pPr>
        <w:pStyle w:val="Heading2"/>
      </w:pPr>
      <w:bookmarkStart w:id="27" w:name="system-analysis"/>
      <w:r>
        <w:t xml:space="preserve">8. System analysis</w:t>
      </w:r>
      <w:bookmarkEnd w:id="27"/>
    </w:p>
    <w:p>
      <w:pPr>
        <w:pStyle w:val="FirstParagraph"/>
      </w:pPr>
      <w:r>
        <w:t xml:space="preserve">The problem’s two structural facts determine the architecture:</w:t>
      </w:r>
    </w:p>
    <w:tbl>
      <w:tblPr>
        <w:tblStyle w:val="TableGrid"/>
        <w:tblW w:type="dxa" w:w="9029"/>
        <w:tblLayout w:type="fixed"/>
        <w:tblLook w:firstRow="1"/>
      </w:tblPr>
      <w:tblGrid>
        <w:gridCol w:w="4012"/>
        <w:gridCol w:w="5017"/>
      </w:tblGrid>
      <w:tr>
        <w:trPr>
          <w:cnfStyle w:firstRow="1"/>
        </w:trPr>
        <w:tc>
          <w:tcPr>
            <w:tcW w:type="dxa" w:w="4012"/>
            <w:tcBorders>
              <w:bottom w:val="single"/>
            </w:tcBorders>
            <w:vAlign w:val="bottom"/>
          </w:tcPr>
          <w:p>
            <w:pPr>
              <w:pStyle w:val="Compact"/>
              <w:jc w:val="left"/>
            </w:pPr>
            <w:r>
              <w:t xml:space="preserve">The fact</w:t>
            </w:r>
          </w:p>
        </w:tc>
        <w:tc>
          <w:tcPr>
            <w:tcW w:type="dxa" w:w="5017"/>
            <w:tcBorders>
              <w:bottom w:val="single"/>
            </w:tcBorders>
            <w:vAlign w:val="bottom"/>
          </w:tcPr>
          <w:p>
            <w:pPr>
              <w:pStyle w:val="Compact"/>
              <w:jc w:val="left"/>
            </w:pPr>
            <w:r>
              <w:t xml:space="preserve">What it forces</w:t>
            </w:r>
          </w:p>
        </w:tc>
      </w:tr>
      <w:tr>
        <w:tc>
          <w:tcPr>
            <w:tcW w:type="dxa" w:w="4012"/>
          </w:tcPr>
          <w:p>
            <w:pPr>
              <w:pStyle w:val="Compact"/>
              <w:jc w:val="left"/>
            </w:pPr>
            <w:r>
              <w:t xml:space="preserve">Reports arrive in an uncontrolled order, sometimes twice</w:t>
            </w:r>
          </w:p>
        </w:tc>
        <w:tc>
          <w:tcPr>
            <w:tcW w:type="dxa" w:w="5017"/>
          </w:tcPr>
          <w:p>
            <w:pPr>
              <w:pStyle w:val="Compact"/>
              <w:jc w:val="left"/>
            </w:pPr>
            <w:r>
              <w:t xml:space="preserve">Grouping must be order-independent and provable; every write carries a key making retries harmless</w:t>
            </w:r>
          </w:p>
        </w:tc>
      </w:tr>
      <w:tr>
        <w:tc>
          <w:tcPr>
            <w:tcW w:type="dxa" w:w="4012"/>
          </w:tcPr>
          <w:p>
            <w:pPr>
              <w:pStyle w:val="Compact"/>
              <w:jc w:val="left"/>
            </w:pPr>
            <w:r>
              <w:t xml:space="preserve">A warning that is not sent is worse than no system</w:t>
            </w:r>
          </w:p>
        </w:tc>
        <w:tc>
          <w:tcPr>
            <w:tcW w:type="dxa" w:w="5017"/>
          </w:tcPr>
          <w:p>
            <w:pPr>
              <w:pStyle w:val="Compact"/>
              <w:jc w:val="left"/>
            </w:pPr>
            <w:r>
              <w:t xml:space="preserve">Saving and enqueueing must be one transaction</w:t>
            </w:r>
          </w:p>
        </w:tc>
      </w:tr>
      <w:tr>
        <w:tc>
          <w:tcPr>
            <w:tcW w:type="dxa" w:w="4012"/>
          </w:tcPr>
          <w:p>
            <w:pPr>
              <w:pStyle w:val="Compact"/>
              <w:jc w:val="left"/>
            </w:pPr>
            <w:r>
              <w:t xml:space="preserve">Evidence must be auditable</w:t>
            </w:r>
          </w:p>
        </w:tc>
        <w:tc>
          <w:tcPr>
            <w:tcW w:type="dxa" w:w="5017"/>
          </w:tcPr>
          <w:p>
            <w:pPr>
              <w:pStyle w:val="Compact"/>
              <w:jc w:val="left"/>
            </w:pPr>
            <w:r>
              <w:t xml:space="preserve">Reports written once, never edited</w:t>
            </w:r>
          </w:p>
        </w:tc>
      </w:tr>
      <w:tr>
        <w:tc>
          <w:tcPr>
            <w:tcW w:type="dxa" w:w="4012"/>
          </w:tcPr>
          <w:p>
            <w:pPr>
              <w:pStyle w:val="Compact"/>
              <w:jc w:val="left"/>
            </w:pPr>
            <w:r>
              <w:t xml:space="preserve">The score decides police involvement</w:t>
            </w:r>
          </w:p>
        </w:tc>
        <w:tc>
          <w:tcPr>
            <w:tcW w:type="dxa" w:w="5017"/>
          </w:tcPr>
          <w:p>
            <w:pPr>
              <w:pStyle w:val="Compact"/>
              <w:jc w:val="left"/>
            </w:pPr>
            <w:r>
              <w:t xml:space="preserve">It must be explainable, not merely displayed</w:t>
            </w:r>
          </w:p>
        </w:tc>
      </w:tr>
    </w:tbl>
    <w:p>
      <w:pPr>
        <w:pStyle w:val="BodyText"/>
      </w:pPr>
      <w:r>
        <w:rPr>
          <w:b/>
        </w:rPr>
        <w:t xml:space="preserve">The advanced concept</w:t>
      </w:r>
      <w:r>
        <w:t xml:space="preserve">, in one paragraph: reports are permanent, unchangeable records. A</w:t>
      </w:r>
      <w:r>
        <w:t xml:space="preserve"> </w:t>
      </w:r>
      <w:r>
        <w:t xml:space="preserve">background process groups reports close in place and time into an Incident, and scores its</w:t>
      </w:r>
      <w:r>
        <w:t xml:space="preserve"> </w:t>
      </w:r>
      <w:r>
        <w:t xml:space="preserve">believability from reporter track record, fading with age. Saving a report and queueing its</w:t>
      </w:r>
      <w:r>
        <w:t xml:space="preserve"> </w:t>
      </w:r>
      <w:r>
        <w:t xml:space="preserve">notifications happen in one transaction, so a crash cannot lose one without the other.</w:t>
      </w:r>
      <w:r>
        <w:t xml:space="preserve"> </w:t>
      </w:r>
      <w:r>
        <w:t xml:space="preserve">Notifications carry a unique key, so a retry cannot warn anyone twice.</w:t>
      </w:r>
    </w:p>
    <w:p>
      <w:pPr>
        <w:pStyle w:val="BodyText"/>
      </w:pPr>
      <w:r>
        <w:rPr>
          <w:b/>
        </w:rPr>
        <w:t xml:space="preserve">The property that must always hold: the order reports arrive in must not change the</w:t>
      </w:r>
      <w:r>
        <w:rPr>
          <w:b/>
        </w:rPr>
        <w:t xml:space="preserve"> </w:t>
      </w:r>
      <w:r>
        <w:rPr>
          <w:b/>
        </w:rPr>
        <w:t xml:space="preserve">result.</w:t>
      </w:r>
      <w:r>
        <w:t xml:space="preserve"> </w:t>
      </w:r>
      <w:r>
        <w:t xml:space="preserve">Full treatment in</w:t>
      </w:r>
      <w:r>
        <w:t xml:space="preserve"> </w:t>
      </w:r>
      <w:r>
        <w:rPr>
          <w:rStyle w:val="VerbatimChar"/>
        </w:rPr>
        <w:t xml:space="preserve">04-advanced-concept.md</w:t>
      </w:r>
      <w:r>
        <w:t xml:space="preserve">.</w:t>
      </w:r>
    </w:p>
    <w:p>
      <w:pPr>
        <w:pStyle w:val="CaptionedFigure"/>
      </w:pPr>
      <w:r>
        <w:drawing>
          <wp:inline>
            <wp:extent cx="5669280" cy="4360984"/>
            <wp:effectExtent b="0" l="0" r="0" t="0"/>
            <wp:docPr descr="Figure 3 — Report intake: saving and enqueueing in one transaction" title="" id="1" name="Picture"/>
            <a:graphic>
              <a:graphicData uri="http://schemas.openxmlformats.org/drawingml/2006/picture">
                <pic:pic>
                  <pic:nvPicPr>
                    <pic:cNvPr descr="/sessions/compassionate-peaceful-mccarthy/mnt/nkwanta/docs/diagrams/png/03-report-intake.png" id="0" name="Picture"/>
                    <pic:cNvPicPr>
                      <a:picLocks noChangeArrowheads="1" noChangeAspect="1"/>
                    </pic:cNvPicPr>
                  </pic:nvPicPr>
                  <pic:blipFill>
                    <a:blip r:embed="rId28"/>
                    <a:stretch>
                      <a:fillRect/>
                    </a:stretch>
                  </pic:blipFill>
                  <pic:spPr bwMode="auto">
                    <a:xfrm>
                      <a:off x="0" y="0"/>
                      <a:ext cx="5669280" cy="4360984"/>
                    </a:xfrm>
                    <a:prstGeom prst="rect">
                      <a:avLst/>
                    </a:prstGeom>
                    <a:noFill/>
                    <a:ln w="9525">
                      <a:noFill/>
                      <a:headEnd/>
                      <a:tailEnd/>
                    </a:ln>
                  </pic:spPr>
                </pic:pic>
              </a:graphicData>
            </a:graphic>
          </wp:inline>
        </w:drawing>
      </w:r>
    </w:p>
    <w:p>
      <w:pPr>
        <w:pStyle w:val="ImageCaption"/>
      </w:pPr>
      <w:r>
        <w:t xml:space="preserve">Figure 3 — Report intake: saving and enqueueing in one transaction</w:t>
      </w:r>
    </w:p>
    <w:p>
      <w:pPr>
        <w:pStyle w:val="BodyText"/>
      </w:pPr>
      <w:r>
        <w:rPr>
          <w:i/>
        </w:rPr>
        <w:t xml:space="preserve">Figure 3 — Report intake: saving and enqueueing in one transaction.</w:t>
      </w:r>
    </w:p>
    <w:p>
      <w:r>
        <w:pict>
          <v:rect style="width:0;height:1.5pt" o:hralign="center" o:hrstd="t" o:hr="t"/>
        </w:pict>
      </w:r>
    </w:p>
    <w:p>
      <w:pPr>
        <w:pStyle w:val="Heading2"/>
      </w:pPr>
      <w:bookmarkStart w:id="29" w:name="system-design"/>
      <w:r>
        <w:t xml:space="preserve">9. System design</w:t>
      </w:r>
      <w:bookmarkEnd w:id="29"/>
    </w:p>
    <w:p>
      <w:pPr>
        <w:pStyle w:val="FirstParagraph"/>
      </w:pPr>
      <w:r>
        <w:rPr>
          <w:b/>
        </w:rPr>
        <w:t xml:space="preserve">Full document:</w:t>
      </w:r>
      <w:r>
        <w:rPr>
          <w:b/>
        </w:rPr>
        <w:t xml:space="preserve"> </w:t>
      </w:r>
      <w:r>
        <w:rPr>
          <w:rStyle w:val="VerbatimChar"/>
          <w:b/>
        </w:rPr>
        <w:t xml:space="preserve">09-system-design.md</w:t>
      </w:r>
      <w:r>
        <w:rPr>
          <w:b/>
        </w:rPr>
        <w:t xml:space="preserve">, with nine diagrams.</w:t>
      </w:r>
    </w:p>
    <w:p>
      <w:pPr>
        <w:pStyle w:val="BlockText"/>
      </w:pPr>
      <w:r>
        <w:rPr>
          <w:b/>
        </w:rPr>
        <w:t xml:space="preserve">Diagram placement for the PDF build — see</w:t>
      </w:r>
      <w:r>
        <w:rPr>
          <w:b/>
        </w:rPr>
        <w:t xml:space="preserve"> </w:t>
      </w:r>
      <w:r>
        <w:rPr>
          <w:rStyle w:val="VerbatimChar"/>
          <w:b/>
        </w:rPr>
        <w:t xml:space="preserve">docs/diagrams/README.md</w:t>
      </w:r>
      <w:r>
        <w:rPr>
          <w:b/>
        </w:rPr>
        <w:t xml:space="preserve">.</w:t>
      </w:r>
      <w:r>
        <w:t xml:space="preserve"> </w:t>
      </w:r>
      <w:r>
        <w:t xml:space="preserve">Four essential</w:t>
      </w:r>
      <w:r>
        <w:t xml:space="preserve"> </w:t>
      </w:r>
      <w:r>
        <w:t xml:space="preserve">diagrams exist as standalone SVG; the remaining five are Mermaid, which renders on GitHub.</w:t>
      </w:r>
    </w:p>
    <w:p>
      <w:pPr>
        <w:pStyle w:val="FirstParagraph"/>
      </w:pPr>
      <w:r>
        <w:rPr>
          <w:b/>
        </w:rPr>
        <w:t xml:space="preserve">Architecture: layered, with a pure core.</w:t>
      </w:r>
      <w:r>
        <w:t xml:space="preserve"> </w:t>
      </w:r>
      <w:r>
        <w:t xml:space="preserve">Four layers, and one rule — the domain layer</w:t>
      </w:r>
      <w:r>
        <w:t xml:space="preserve"> </w:t>
      </w:r>
      <w:r>
        <w:t xml:space="preserve">imports nothing from above it and touches no database, clock or network.</w:t>
      </w:r>
    </w:p>
    <w:p>
      <w:pPr>
        <w:pStyle w:val="CaptionedFigure"/>
      </w:pPr>
      <w:r>
        <w:drawing>
          <wp:inline>
            <wp:extent cx="5669280" cy="3506002"/>
            <wp:effectExtent b="0" l="0" r="0" t="0"/>
            <wp:docPr descr="Figure 1 — Architecture: layered, with a pure core" title="" id="1" name="Picture"/>
            <a:graphic>
              <a:graphicData uri="http://schemas.openxmlformats.org/drawingml/2006/picture">
                <pic:pic>
                  <pic:nvPicPr>
                    <pic:cNvPr descr="/sessions/compassionate-peaceful-mccarthy/mnt/nkwanta/docs/diagrams/png/01-architecture.png" id="0" name="Picture"/>
                    <pic:cNvPicPr>
                      <a:picLocks noChangeArrowheads="1" noChangeAspect="1"/>
                    </pic:cNvPicPr>
                  </pic:nvPicPr>
                  <pic:blipFill>
                    <a:blip r:embed="rId30"/>
                    <a:stretch>
                      <a:fillRect/>
                    </a:stretch>
                  </pic:blipFill>
                  <pic:spPr bwMode="auto">
                    <a:xfrm>
                      <a:off x="0" y="0"/>
                      <a:ext cx="5669280" cy="3506002"/>
                    </a:xfrm>
                    <a:prstGeom prst="rect">
                      <a:avLst/>
                    </a:prstGeom>
                    <a:noFill/>
                    <a:ln w="9525">
                      <a:noFill/>
                      <a:headEnd/>
                      <a:tailEnd/>
                    </a:ln>
                  </pic:spPr>
                </pic:pic>
              </a:graphicData>
            </a:graphic>
          </wp:inline>
        </w:drawing>
      </w:r>
    </w:p>
    <w:p>
      <w:pPr>
        <w:pStyle w:val="ImageCaption"/>
      </w:pPr>
      <w:r>
        <w:t xml:space="preserve">Figure 1 — Architecture: layered, with a pure core</w:t>
      </w:r>
    </w:p>
    <w:p>
      <w:pPr>
        <w:pStyle w:val="BodyText"/>
      </w:pPr>
      <w:r>
        <w:rPr>
          <w:i/>
        </w:rPr>
        <w:t xml:space="preserve">Figure 1 — Architecture: layered, with a pure core.</w:t>
      </w:r>
    </w:p>
    <w:p>
      <w:pPr>
        <w:pStyle w:val="BodyText"/>
      </w:pPr>
      <w:r>
        <w:t xml:space="preserve">That rule is not decoration. It is why property-based testing was affordable: Hypothesis</w:t>
      </w:r>
      <w:r>
        <w:t xml:space="preserve"> </w:t>
      </w:r>
      <w:r>
        <w:t xml:space="preserve">can call</w:t>
      </w:r>
      <w:r>
        <w:t xml:space="preserve"> </w:t>
      </w:r>
      <w:r>
        <w:rPr>
          <w:rStyle w:val="VerbatimChar"/>
        </w:rPr>
        <w:t xml:space="preserve">clustering.group()</w:t>
      </w:r>
      <w:r>
        <w:t xml:space="preserve"> </w:t>
      </w:r>
      <w:r>
        <w:t xml:space="preserve">a thousand times because calling it costs nothing. A</w:t>
      </w:r>
      <w:r>
        <w:t xml:space="preserve"> </w:t>
      </w:r>
      <w:r>
        <w:t xml:space="preserve">clustering function that read from the database could not be tested that way, and the</w:t>
      </w:r>
      <w:r>
        <w:t xml:space="preserve"> </w:t>
      </w:r>
      <w:r>
        <w:t xml:space="preserve">order-independence property could not have been proved.</w:t>
      </w:r>
    </w:p>
    <w:p>
      <w:pPr>
        <w:pStyle w:val="BodyText"/>
      </w:pPr>
      <w:r>
        <w:rPr>
          <w:b/>
        </w:rPr>
        <w:t xml:space="preserve">Data model.</w:t>
      </w:r>
      <w:r>
        <w:t xml:space="preserve"> </w:t>
      </w:r>
      <w:r>
        <w:t xml:space="preserve">Nine tables. Two are the design rather than incidental:</w:t>
      </w:r>
    </w:p>
    <w:p>
      <w:pPr>
        <w:pStyle w:val="CaptionedFigure"/>
      </w:pPr>
      <w:r>
        <w:drawing>
          <wp:inline>
            <wp:extent cx="5669280" cy="4070252"/>
            <wp:effectExtent b="0" l="0" r="0" t="0"/>
            <wp:docPr descr="Figure 2 — Data model: reports are append-only, incidents derived" title="" id="1" name="Picture"/>
            <a:graphic>
              <a:graphicData uri="http://schemas.openxmlformats.org/drawingml/2006/picture">
                <pic:pic>
                  <pic:nvPicPr>
                    <pic:cNvPr descr="/sessions/compassionate-peaceful-mccarthy/mnt/nkwanta/docs/diagrams/png/02-data-model.png" id="0" name="Picture"/>
                    <pic:cNvPicPr>
                      <a:picLocks noChangeArrowheads="1" noChangeAspect="1"/>
                    </pic:cNvPicPr>
                  </pic:nvPicPr>
                  <pic:blipFill>
                    <a:blip r:embed="rId31"/>
                    <a:stretch>
                      <a:fillRect/>
                    </a:stretch>
                  </pic:blipFill>
                  <pic:spPr bwMode="auto">
                    <a:xfrm>
                      <a:off x="0" y="0"/>
                      <a:ext cx="5669280" cy="4070252"/>
                    </a:xfrm>
                    <a:prstGeom prst="rect">
                      <a:avLst/>
                    </a:prstGeom>
                    <a:noFill/>
                    <a:ln w="9525">
                      <a:noFill/>
                      <a:headEnd/>
                      <a:tailEnd/>
                    </a:ln>
                  </pic:spPr>
                </pic:pic>
              </a:graphicData>
            </a:graphic>
          </wp:inline>
        </w:drawing>
      </w:r>
    </w:p>
    <w:p>
      <w:pPr>
        <w:pStyle w:val="ImageCaption"/>
      </w:pPr>
      <w:r>
        <w:t xml:space="preserve">Figure 2 — Data model: reports are append-only, incidents derived</w:t>
      </w:r>
    </w:p>
    <w:p>
      <w:pPr>
        <w:pStyle w:val="BodyText"/>
      </w:pPr>
      <w:r>
        <w:rPr>
          <w:i/>
        </w:rPr>
        <w:t xml:space="preserve">Figure 2 — Data model: reports are append-only, incidents derived.</w:t>
      </w:r>
    </w:p>
    <w:p>
      <w:pPr>
        <w:numPr>
          <w:ilvl w:val="0"/>
          <w:numId w:val="1002"/>
        </w:numPr>
        <w:pStyle w:val="Compact"/>
      </w:pPr>
      <w:r>
        <w:rPr>
          <w:rStyle w:val="VerbatimChar"/>
          <w:b/>
        </w:rPr>
        <w:t xml:space="preserve">reports</w:t>
      </w:r>
      <w:r>
        <w:rPr>
          <w:b/>
        </w:rPr>
        <w:t xml:space="preserve"> </w:t>
      </w:r>
      <w:r>
        <w:rPr>
          <w:b/>
        </w:rPr>
        <w:t xml:space="preserve">is append-only.</w:t>
      </w:r>
      <w:r>
        <w:t xml:space="preserve"> </w:t>
      </w:r>
      <w:r>
        <w:t xml:space="preserve">No status, no soft-delete. A report that turns out to be</w:t>
      </w:r>
      <w:r>
        <w:t xml:space="preserve"> </w:t>
      </w:r>
      <w:r>
        <w:t xml:space="preserve">wrong is not edited — the incident is resolved as a false alarm and reputation moves.</w:t>
      </w:r>
    </w:p>
    <w:p>
      <w:pPr>
        <w:numPr>
          <w:ilvl w:val="0"/>
          <w:numId w:val="1002"/>
        </w:numPr>
        <w:pStyle w:val="Compact"/>
      </w:pPr>
      <w:r>
        <w:rPr>
          <w:rStyle w:val="VerbatimChar"/>
          <w:b/>
        </w:rPr>
        <w:t xml:space="preserve">incidents</w:t>
      </w:r>
      <w:r>
        <w:rPr>
          <w:b/>
        </w:rPr>
        <w:t xml:space="preserve"> </w:t>
      </w:r>
      <w:r>
        <w:rPr>
          <w:b/>
        </w:rPr>
        <w:t xml:space="preserve">is derived.</w:t>
      </w:r>
      <w:r>
        <w:t xml:space="preserve"> </w:t>
      </w:r>
      <w:r>
        <w:t xml:space="preserve">It could be dropped and rebuilt by replaying the reports.</w:t>
      </w:r>
      <w:r>
        <w:t xml:space="preserve"> </w:t>
      </w:r>
      <w:r>
        <w:t xml:space="preserve">That is what makes it safe to change the clustering rules later: the history is the</w:t>
      </w:r>
      <w:r>
        <w:t xml:space="preserve"> </w:t>
      </w:r>
      <w:r>
        <w:t xml:space="preserve">reports, not the map.</w:t>
      </w:r>
    </w:p>
    <w:p>
      <w:pPr>
        <w:pStyle w:val="FirstParagraph"/>
      </w:pPr>
      <w:r>
        <w:rPr>
          <w:b/>
        </w:rPr>
        <w:t xml:space="preserve">Three columns worth explaining:</w:t>
      </w:r>
      <w:r>
        <w:t xml:space="preserve"> </w:t>
      </w:r>
      <w:r>
        <w:rPr>
          <w:rStyle w:val="VerbatimChar"/>
        </w:rPr>
        <w:t xml:space="preserve">incidents.cluster_key</w:t>
      </w:r>
      <w:r>
        <w:t xml:space="preserve"> </w:t>
      </w:r>
      <w:r>
        <w:t xml:space="preserve">(the smallest member report id</w:t>
      </w:r>
      <w:r>
        <w:t xml:space="preserve"> </w:t>
      </w:r>
      <w:r>
        <w:t xml:space="preserve">— stable under merging, where a primary key is not),</w:t>
      </w:r>
      <w:r>
        <w:t xml:space="preserve"> </w:t>
      </w:r>
      <w:r>
        <w:rPr>
          <w:rStyle w:val="VerbatimChar"/>
        </w:rPr>
        <w:t xml:space="preserve">incident_reports.weight</w:t>
      </w:r>
      <w:r>
        <w:t xml:space="preserve"> </w:t>
      </w:r>
      <w:r>
        <w:t xml:space="preserve">(stored so</w:t>
      </w:r>
      <w:r>
        <w:t xml:space="preserve"> </w:t>
      </w:r>
      <w:r>
        <w:t xml:space="preserve">the score is explainable),</w:t>
      </w:r>
      <w:r>
        <w:t xml:space="preserve"> </w:t>
      </w:r>
      <w:r>
        <w:rPr>
          <w:rStyle w:val="VerbatimChar"/>
        </w:rPr>
        <w:t xml:space="preserve">outbox.idempotency_key</w:t>
      </w:r>
      <w:r>
        <w:t xml:space="preserve"> </w:t>
      </w:r>
      <w:r>
        <w:t xml:space="preserve">(unique, so a retry is a no-op).</w:t>
      </w:r>
    </w:p>
    <w:p>
      <w:pPr>
        <w:pStyle w:val="CaptionedFigure"/>
      </w:pPr>
      <w:r>
        <w:drawing>
          <wp:inline>
            <wp:extent cx="5669280" cy="2907323"/>
            <wp:effectExtent b="0" l="0" r="0" t="0"/>
            <wp:docPr descr="Figure 4 — The incident lifecycle: computed states versus decided states" title="" id="1" name="Picture"/>
            <a:graphic>
              <a:graphicData uri="http://schemas.openxmlformats.org/drawingml/2006/picture">
                <pic:pic>
                  <pic:nvPicPr>
                    <pic:cNvPr descr="/sessions/compassionate-peaceful-mccarthy/mnt/nkwanta/docs/diagrams/png/04-lifecycle.png" id="0" name="Picture"/>
                    <pic:cNvPicPr>
                      <a:picLocks noChangeArrowheads="1" noChangeAspect="1"/>
                    </pic:cNvPicPr>
                  </pic:nvPicPr>
                  <pic:blipFill>
                    <a:blip r:embed="rId32"/>
                    <a:stretch>
                      <a:fillRect/>
                    </a:stretch>
                  </pic:blipFill>
                  <pic:spPr bwMode="auto">
                    <a:xfrm>
                      <a:off x="0" y="0"/>
                      <a:ext cx="5669280" cy="2907323"/>
                    </a:xfrm>
                    <a:prstGeom prst="rect">
                      <a:avLst/>
                    </a:prstGeom>
                    <a:noFill/>
                    <a:ln w="9525">
                      <a:noFill/>
                      <a:headEnd/>
                      <a:tailEnd/>
                    </a:ln>
                  </pic:spPr>
                </pic:pic>
              </a:graphicData>
            </a:graphic>
          </wp:inline>
        </w:drawing>
      </w:r>
    </w:p>
    <w:p>
      <w:pPr>
        <w:pStyle w:val="ImageCaption"/>
      </w:pPr>
      <w:r>
        <w:t xml:space="preserve">Figure 4 — The incident lifecycle: computed states versus decided states</w:t>
      </w:r>
    </w:p>
    <w:p>
      <w:pPr>
        <w:pStyle w:val="BodyText"/>
      </w:pPr>
      <w:r>
        <w:rPr>
          <w:i/>
        </w:rPr>
        <w:t xml:space="preserve">Figure 4 — The incident lifecycle: computed states versus decided states.</w:t>
      </w:r>
    </w:p>
    <w:p>
      <w:r>
        <w:pict>
          <v:rect style="width:0;height:1.5pt" o:hralign="center" o:hrstd="t" o:hr="t"/>
        </w:pict>
      </w:r>
    </w:p>
    <w:p>
      <w:pPr>
        <w:pStyle w:val="Heading2"/>
      </w:pPr>
      <w:bookmarkStart w:id="33" w:name="implementation"/>
      <w:r>
        <w:t xml:space="preserve">10. Implementation</w:t>
      </w:r>
      <w:bookmarkEnd w:id="33"/>
    </w:p>
    <w:tbl>
      <w:tblPr>
        <w:tblStyle w:val="TableGrid"/>
        <w:tblW w:type="dxa" w:w="9029"/>
        <w:tblLayout w:type="fixed"/>
        <w:tblLook w:firstRow="1"/>
      </w:tblPr>
      <w:tblGrid>
        <w:gridCol w:w="682"/>
        <w:gridCol w:w="3034"/>
        <w:gridCol w:w="5313"/>
      </w:tblGrid>
      <w:tr>
        <w:trPr>
          <w:cnfStyle w:firstRow="1"/>
        </w:trPr>
        <w:tc>
          <w:tcPr>
            <w:tcW w:type="dxa" w:w="682"/>
            <w:tcBorders>
              <w:bottom w:val="single"/>
            </w:tcBorders>
            <w:vAlign w:val="bottom"/>
          </w:tcPr>
          <w:p>
            <w:pPr>
              <w:pStyle w:val="Compact"/>
              <w:jc w:val="left"/>
            </w:pPr>
            <w:r>
              <w:t xml:space="preserve">Layer</w:t>
            </w:r>
          </w:p>
        </w:tc>
        <w:tc>
          <w:tcPr>
            <w:tcW w:type="dxa" w:w="3034"/>
            <w:tcBorders>
              <w:bottom w:val="single"/>
            </w:tcBorders>
            <w:vAlign w:val="bottom"/>
          </w:tcPr>
          <w:p>
            <w:pPr>
              <w:pStyle w:val="Compact"/>
              <w:jc w:val="left"/>
            </w:pPr>
            <w:r>
              <w:t xml:space="preserve">Choice</w:t>
            </w:r>
          </w:p>
        </w:tc>
        <w:tc>
          <w:tcPr>
            <w:tcW w:type="dxa" w:w="5313"/>
            <w:tcBorders>
              <w:bottom w:val="single"/>
            </w:tcBorders>
            <w:vAlign w:val="bottom"/>
          </w:tcPr>
          <w:p>
            <w:pPr>
              <w:pStyle w:val="Compact"/>
              <w:jc w:val="left"/>
            </w:pPr>
            <w:r>
              <w:t xml:space="preserve">Why</w:t>
            </w:r>
          </w:p>
        </w:tc>
      </w:tr>
      <w:tr>
        <w:tc>
          <w:tcPr>
            <w:tcW w:type="dxa" w:w="682"/>
          </w:tcPr>
          <w:p>
            <w:pPr>
              <w:pStyle w:val="Compact"/>
              <w:jc w:val="left"/>
            </w:pPr>
            <w:r>
              <w:t xml:space="preserve">Backend</w:t>
            </w:r>
          </w:p>
        </w:tc>
        <w:tc>
          <w:tcPr>
            <w:tcW w:type="dxa" w:w="3034"/>
          </w:tcPr>
          <w:p>
            <w:pPr>
              <w:pStyle w:val="Compact"/>
              <w:jc w:val="left"/>
            </w:pPr>
            <w:r>
              <w:t xml:space="preserve">Python, FastAPI</w:t>
            </w:r>
          </w:p>
        </w:tc>
        <w:tc>
          <w:tcPr>
            <w:tcW w:type="dxa" w:w="5313"/>
          </w:tcPr>
          <w:p>
            <w:pPr>
              <w:pStyle w:val="Compact"/>
              <w:jc w:val="left"/>
            </w:pPr>
            <w:r>
              <w:t xml:space="preserve">Async, typed, generates its own API documentation</w:t>
            </w:r>
          </w:p>
        </w:tc>
      </w:tr>
      <w:tr>
        <w:tc>
          <w:tcPr>
            <w:tcW w:type="dxa" w:w="682"/>
          </w:tcPr>
          <w:p>
            <w:pPr>
              <w:pStyle w:val="Compact"/>
              <w:jc w:val="left"/>
            </w:pPr>
            <w:r>
              <w:t xml:space="preserve">Database</w:t>
            </w:r>
          </w:p>
        </w:tc>
        <w:tc>
          <w:tcPr>
            <w:tcW w:type="dxa" w:w="3034"/>
          </w:tcPr>
          <w:p>
            <w:pPr>
              <w:pStyle w:val="Compact"/>
              <w:jc w:val="left"/>
            </w:pPr>
            <w:r>
              <w:t xml:space="preserve">PostgreSQL + PostGIS</w:t>
            </w:r>
          </w:p>
        </w:tc>
        <w:tc>
          <w:tcPr>
            <w:tcW w:type="dxa" w:w="5313"/>
          </w:tcPr>
          <w:p>
            <w:pPr>
              <w:pStyle w:val="Compact"/>
              <w:jc w:val="left"/>
            </w:pPr>
            <w:r>
              <w:rPr>
                <w:rStyle w:val="VerbatimChar"/>
              </w:rPr>
              <w:t xml:space="preserve">ST_DWithin</w:t>
            </w:r>
            <w:r>
              <w:t xml:space="preserve"> </w:t>
            </w:r>
            <w:r>
              <w:t xml:space="preserve">on</w:t>
            </w:r>
            <w:r>
              <w:t xml:space="preserve"> </w:t>
            </w:r>
            <w:r>
              <w:rPr>
                <w:rStyle w:val="VerbatimChar"/>
              </w:rPr>
              <w:t xml:space="preserve">geography</w:t>
            </w:r>
            <w:r>
              <w:t xml:space="preserve"> </w:t>
            </w:r>
            <w:r>
              <w:t xml:space="preserve">measures real metres; a GiST index makes it fast</w:t>
            </w:r>
          </w:p>
        </w:tc>
      </w:tr>
      <w:tr>
        <w:tc>
          <w:tcPr>
            <w:tcW w:type="dxa" w:w="682"/>
          </w:tcPr>
          <w:p>
            <w:pPr>
              <w:pStyle w:val="Compact"/>
              <w:jc w:val="left"/>
            </w:pPr>
            <w:r>
              <w:t xml:space="preserve">ORM</w:t>
            </w:r>
          </w:p>
        </w:tc>
        <w:tc>
          <w:tcPr>
            <w:tcW w:type="dxa" w:w="3034"/>
          </w:tcPr>
          <w:p>
            <w:pPr>
              <w:pStyle w:val="Compact"/>
              <w:jc w:val="left"/>
            </w:pPr>
            <w:r>
              <w:t xml:space="preserve">SQLAlchemy 2.0 async + Alembic</w:t>
            </w:r>
          </w:p>
        </w:tc>
        <w:tc>
          <w:tcPr>
            <w:tcW w:type="dxa" w:w="5313"/>
          </w:tcPr>
          <w:p>
            <w:pPr>
              <w:pStyle w:val="Compact"/>
              <w:jc w:val="left"/>
            </w:pPr>
            <w:r>
              <w:t xml:space="preserve">Typed models, versioned migrations</w:t>
            </w:r>
          </w:p>
        </w:tc>
      </w:tr>
      <w:tr>
        <w:tc>
          <w:tcPr>
            <w:tcW w:type="dxa" w:w="682"/>
          </w:tcPr>
          <w:p>
            <w:pPr>
              <w:pStyle w:val="Compact"/>
              <w:jc w:val="left"/>
            </w:pPr>
            <w:r>
              <w:t xml:space="preserve">Front end</w:t>
            </w:r>
          </w:p>
        </w:tc>
        <w:tc>
          <w:tcPr>
            <w:tcW w:type="dxa" w:w="3034"/>
          </w:tcPr>
          <w:p>
            <w:pPr>
              <w:pStyle w:val="Compact"/>
              <w:jc w:val="left"/>
            </w:pPr>
            <w:r>
              <w:t xml:space="preserve">Native ES modules, no build step (D-037)</w:t>
            </w:r>
          </w:p>
        </w:tc>
        <w:tc>
          <w:tcPr>
            <w:tcW w:type="dxa" w:w="5313"/>
          </w:tcPr>
          <w:p>
            <w:pPr>
              <w:pStyle w:val="Compact"/>
              <w:jc w:val="left"/>
            </w:pPr>
            <w:r>
              <w:t xml:space="preserve">A build pipeline is a thing that breaks at hour 44 for reasons unrelated to the product</w:t>
            </w:r>
          </w:p>
        </w:tc>
      </w:tr>
      <w:tr>
        <w:tc>
          <w:tcPr>
            <w:tcW w:type="dxa" w:w="682"/>
          </w:tcPr>
          <w:p>
            <w:pPr>
              <w:pStyle w:val="Compact"/>
              <w:jc w:val="left"/>
            </w:pPr>
            <w:r>
              <w:t xml:space="preserve">Tests</w:t>
            </w:r>
          </w:p>
        </w:tc>
        <w:tc>
          <w:tcPr>
            <w:tcW w:type="dxa" w:w="3034"/>
          </w:tcPr>
          <w:p>
            <w:pPr>
              <w:pStyle w:val="Compact"/>
              <w:jc w:val="left"/>
            </w:pPr>
            <w:r>
              <w:t xml:space="preserve">pytest +</w:t>
            </w:r>
            <w:r>
              <w:t xml:space="preserve"> </w:t>
            </w:r>
            <w:r>
              <w:rPr>
                <w:b/>
              </w:rPr>
              <w:t xml:space="preserve">Hypothesis</w:t>
            </w:r>
          </w:p>
        </w:tc>
        <w:tc>
          <w:tcPr>
            <w:tcW w:type="dxa" w:w="5313"/>
          </w:tcPr>
          <w:p>
            <w:pPr>
              <w:pStyle w:val="Compact"/>
              <w:jc w:val="left"/>
            </w:pPr>
            <w:r>
              <w:t xml:space="preserve">The order-independence property cannot be demonstrated by examples</w:t>
            </w:r>
          </w:p>
        </w:tc>
      </w:tr>
      <w:tr>
        <w:tc>
          <w:tcPr>
            <w:tcW w:type="dxa" w:w="682"/>
          </w:tcPr>
          <w:p>
            <w:pPr>
              <w:pStyle w:val="Compact"/>
              <w:jc w:val="left"/>
            </w:pPr>
            <w:r>
              <w:t xml:space="preserve">Hosting</w:t>
            </w:r>
          </w:p>
        </w:tc>
        <w:tc>
          <w:tcPr>
            <w:tcW w:type="dxa" w:w="3034"/>
          </w:tcPr>
          <w:p>
            <w:pPr>
              <w:pStyle w:val="Compact"/>
              <w:jc w:val="left"/>
            </w:pPr>
            <w:r>
              <w:t xml:space="preserve">Neon (database) + Render (application)</w:t>
            </w:r>
          </w:p>
        </w:tc>
        <w:tc>
          <w:tcPr>
            <w:tcW w:type="dxa" w:w="5313"/>
          </w:tcPr>
          <w:p>
            <w:pPr>
              <w:pStyle w:val="Compact"/>
              <w:jc w:val="left"/>
            </w:pPr>
            <w:r>
              <w:t xml:space="preserve">Free tier; no Vercel (D-012)</w:t>
            </w:r>
          </w:p>
        </w:tc>
      </w:tr>
    </w:tbl>
    <w:p>
      <w:pPr>
        <w:pStyle w:val="BodyText"/>
      </w:pPr>
      <w:r>
        <w:rPr>
          <w:b/>
        </w:rPr>
        <w:t xml:space="preserve">Scale:</w:t>
      </w:r>
      <w:r>
        <w:t xml:space="preserve"> </w:t>
      </w:r>
      <w:r>
        <w:t xml:space="preserve">~2,000 statements of Python across 30 modules, 13 front-end ES modules, 508</w:t>
      </w:r>
      <w:r>
        <w:t xml:space="preserve"> </w:t>
      </w:r>
      <w:r>
        <w:t xml:space="preserve">tests, 7 migrations.</w:t>
      </w:r>
    </w:p>
    <w:p>
      <w:pPr>
        <w:pStyle w:val="BodyText"/>
      </w:pPr>
      <w:r>
        <w:rPr>
          <w:b/>
        </w:rPr>
        <w:t xml:space="preserve">The front end is an installable progressive web application</w:t>
      </w:r>
      <w:r>
        <w:t xml:space="preserve"> </w:t>
      </w:r>
      <w:r>
        <w:t xml:space="preserve">— offline report queueing</w:t>
      </w:r>
      <w:r>
        <w:t xml:space="preserve"> </w:t>
      </w:r>
      <w:r>
        <w:t xml:space="preserve">in IndexedDB, a service worker caching the shell, role-differentiated views, voice notes,</w:t>
      </w:r>
      <w:r>
        <w:t xml:space="preserve"> </w:t>
      </w:r>
      <w:r>
        <w:t xml:space="preserve">photographs, and a public map that needs no account.</w:t>
      </w:r>
    </w:p>
    <w:p>
      <w:pPr>
        <w:pStyle w:val="BodyText"/>
      </w:pPr>
      <w:r>
        <w:t xml:space="preserve">Three implementation details worth defending in a viva:</w:t>
      </w:r>
    </w:p>
    <w:p>
      <w:pPr>
        <w:numPr>
          <w:ilvl w:val="0"/>
          <w:numId w:val="1003"/>
        </w:numPr>
        <w:pStyle w:val="Compact"/>
      </w:pPr>
      <w:r>
        <w:rPr>
          <w:b/>
        </w:rPr>
        <w:t xml:space="preserve">The idempotency key is generated in the browser at capture</w:t>
      </w:r>
      <w:r>
        <w:t xml:space="preserve">, not by the server at</w:t>
      </w:r>
      <w:r>
        <w:t xml:space="preserve"> </w:t>
      </w:r>
      <w:r>
        <w:t xml:space="preserve">send. That is what makes the offline queue safe: the same physical report carries the</w:t>
      </w:r>
      <w:r>
        <w:t xml:space="preserve"> </w:t>
      </w:r>
      <w:r>
        <w:t xml:space="preserve">same key however many times it is attempted.</w:t>
      </w:r>
    </w:p>
    <w:p>
      <w:pPr>
        <w:numPr>
          <w:ilvl w:val="0"/>
          <w:numId w:val="1003"/>
        </w:numPr>
        <w:pStyle w:val="Compact"/>
      </w:pPr>
      <w:r>
        <w:rPr>
          <w:rStyle w:val="VerbatimChar"/>
          <w:b/>
        </w:rPr>
        <w:t xml:space="preserve">FOR UPDATE SKIP LOCKED</w:t>
      </w:r>
      <w:r>
        <w:t xml:space="preserve"> </w:t>
      </w:r>
      <w:r>
        <w:t xml:space="preserve">lets multiple workers drain one queue without collision.</w:t>
      </w:r>
      <w:r>
        <w:t xml:space="preserve"> </w:t>
      </w:r>
      <w:r>
        <w:t xml:space="preserve">There is one worker today; the query does not have to change when there are more.</w:t>
      </w:r>
    </w:p>
    <w:p>
      <w:pPr>
        <w:numPr>
          <w:ilvl w:val="0"/>
          <w:numId w:val="1003"/>
        </w:numPr>
        <w:pStyle w:val="Compact"/>
      </w:pPr>
      <w:r>
        <w:rPr>
          <w:b/>
        </w:rPr>
        <w:t xml:space="preserve">Attachment URLs are signed and short-lived</w:t>
      </w:r>
      <w:r>
        <w:t xml:space="preserve"> </w:t>
      </w:r>
      <w:r>
        <w:t xml:space="preserve">(D-043), because</w:t>
      </w:r>
      <w:r>
        <w:t xml:space="preserve"> </w:t>
      </w:r>
      <w:r>
        <w:rPr>
          <w:rStyle w:val="VerbatimChar"/>
        </w:rPr>
        <w:t xml:space="preserve">&lt;img&gt;</w:t>
      </w:r>
      <w:r>
        <w:t xml:space="preserve"> </w:t>
      </w:r>
      <w:r>
        <w:t xml:space="preserve">and</w:t>
      </w:r>
      <w:r>
        <w:t xml:space="preserve"> </w:t>
      </w:r>
      <w:r>
        <w:rPr>
          <w:rStyle w:val="VerbatimChar"/>
        </w:rPr>
        <w:t xml:space="preserve">&lt;audio&gt;</w:t>
      </w:r>
      <w:r>
        <w:t xml:space="preserve"> </w:t>
      </w:r>
      <w:r>
        <w:t xml:space="preserve">cannot send an</w:t>
      </w:r>
      <w:r>
        <w:t xml:space="preserve"> </w:t>
      </w:r>
      <w:r>
        <w:rPr>
          <w:rStyle w:val="VerbatimChar"/>
        </w:rPr>
        <w:t xml:space="preserve">Authorization</w:t>
      </w:r>
      <w:r>
        <w:t xml:space="preserve"> </w:t>
      </w:r>
      <w:r>
        <w:t xml:space="preserve">header — the same mechanism as an S3 presigned URL.</w:t>
      </w:r>
    </w:p>
    <w:p>
      <w:r>
        <w:pict>
          <v:rect style="width:0;height:1.5pt" o:hralign="center" o:hrstd="t" o:hr="t"/>
        </w:pict>
      </w:r>
    </w:p>
    <w:p>
      <w:pPr>
        <w:pStyle w:val="Heading2"/>
      </w:pPr>
      <w:bookmarkStart w:id="34" w:name="testing-and-quality-assurance"/>
      <w:r>
        <w:t xml:space="preserve">11. Testing and quality assurance</w:t>
      </w:r>
      <w:bookmarkEnd w:id="34"/>
    </w:p>
    <w:p>
      <w:pPr>
        <w:pStyle w:val="FirstParagraph"/>
      </w:pPr>
      <w:r>
        <w:rPr>
          <w:b/>
        </w:rPr>
        <w:t xml:space="preserve">Full document:</w:t>
      </w:r>
      <w:r>
        <w:rPr>
          <w:b/>
        </w:rPr>
        <w:t xml:space="preserve"> </w:t>
      </w:r>
      <w:r>
        <w:rPr>
          <w:rStyle w:val="VerbatimChar"/>
          <w:b/>
        </w:rPr>
        <w:t xml:space="preserve">11-testing-report.md</w:t>
      </w:r>
      <w:r>
        <w:rPr>
          <w:b/>
        </w:rPr>
        <w:t xml:space="preserve">.</w:t>
      </w:r>
    </w:p>
    <w:p>
      <w:pPr>
        <w:pStyle w:val="BodyText"/>
      </w:pPr>
      <w:r>
        <w:rPr>
          <w:b/>
        </w:rPr>
        <w:t xml:space="preserve">508 tests. 499 without a database, 9 requiring PostGIS. 69% statement coverage overall,</w:t>
      </w:r>
      <w:r>
        <w:rPr>
          <w:b/>
        </w:rPr>
        <w:t xml:space="preserve"> </w:t>
      </w:r>
      <w:r>
        <w:rPr>
          <w:b/>
        </w:rPr>
        <w:t xml:space="preserve">99% on the pure domain core.</w:t>
      </w:r>
    </w:p>
    <w:p>
      <w:pPr>
        <w:pStyle w:val="BodyText"/>
      </w:pPr>
      <w:r>
        <w:t xml:space="preserve">The gap between those two numbers is the honest summary: the parts that</w:t>
      </w:r>
      <w:r>
        <w:t xml:space="preserve"> </w:t>
      </w:r>
      <w:r>
        <w:rPr>
          <w:i/>
        </w:rPr>
        <w:t xml:space="preserve">decide</w:t>
      </w:r>
      <w:r>
        <w:t xml:space="preserve"> </w:t>
      </w:r>
      <w:r>
        <w:t xml:space="preserve">things are</w:t>
      </w:r>
      <w:r>
        <w:t xml:space="preserve"> </w:t>
      </w:r>
      <w:r>
        <w:t xml:space="preserve">property-tested almost exhaustively; the parts that</w:t>
      </w:r>
      <w:r>
        <w:t xml:space="preserve"> </w:t>
      </w:r>
      <w:r>
        <w:rPr>
          <w:i/>
        </w:rPr>
        <w:t xml:space="preserve">move data around</w:t>
      </w:r>
      <w:r>
        <w:t xml:space="preserve"> </w:t>
      </w:r>
      <w:r>
        <w:t xml:space="preserve">rest on nine</w:t>
      </w:r>
      <w:r>
        <w:t xml:space="preserve"> </w:t>
      </w:r>
      <w:r>
        <w:t xml:space="preserve">integration paths.</w:t>
      </w:r>
    </w:p>
    <w:p>
      <w:pPr>
        <w:pStyle w:val="BodyText"/>
      </w:pPr>
      <w:r>
        <w:rPr>
          <w:b/>
        </w:rPr>
        <w:t xml:space="preserve">Thirty-five properties</w:t>
      </w:r>
      <w:r>
        <w:t xml:space="preserve"> </w:t>
      </w:r>
      <w:r>
        <w:t xml:space="preserve">under Hypothesis, at 150 examples each by default and 1,000</w:t>
      </w:r>
      <w:r>
        <w:t xml:space="preserve"> </w:t>
      </w:r>
      <w:r>
        <w:t xml:space="preserve">before submission. Eight defects were found by tests rather than by use. The best of them:</w:t>
      </w:r>
      <w:r>
        <w:t xml:space="preserve"> </w:t>
      </w:r>
      <w:r>
        <w:t xml:space="preserve">Hypothesis generated three</w:t>
      </w:r>
      <w:r>
        <w:t xml:space="preserve"> </w:t>
      </w:r>
      <w:r>
        <w:rPr>
          <w:i/>
        </w:rPr>
        <w:t xml:space="preserve">identical</w:t>
      </w:r>
      <w:r>
        <w:t xml:space="preserve"> </w:t>
      </w:r>
      <w:r>
        <w:t xml:space="preserve">longitudes and the computed mean came out one unit</w:t>
      </w:r>
      <w:r>
        <w:t xml:space="preserve"> </w:t>
      </w:r>
      <w:r>
        <w:t xml:space="preserve">in the last place below its own minimum, because floating-point addition is not</w:t>
      </w:r>
      <w:r>
        <w:t xml:space="preserve"> </w:t>
      </w:r>
      <w:r>
        <w:t xml:space="preserve">associative. No hand-written test picks that input — it looks degenerate and not worth</w:t>
      </w:r>
      <w:r>
        <w:t xml:space="preserve"> </w:t>
      </w:r>
      <w:r>
        <w:t xml:space="preserve">writing.</w:t>
      </w:r>
    </w:p>
    <w:p>
      <w:pPr>
        <w:pStyle w:val="BodyText"/>
      </w:pPr>
      <w:r>
        <w:rPr>
          <w:b/>
        </w:rPr>
        <w:t xml:space="preserve">Forty-nine tests check the documents against the code</w:t>
      </w:r>
      <w:r>
        <w:t xml:space="preserve"> </w:t>
      </w:r>
      <w:r>
        <w:t xml:space="preserve">— every module named in the SRS</w:t>
      </w:r>
      <w:r>
        <w:t xml:space="preserve"> </w:t>
      </w:r>
      <w:r>
        <w:t xml:space="preserve">exists, every table in the ER diagram is in the metadata and vice versa, quoted thresholds</w:t>
      </w:r>
      <w:r>
        <w:t xml:space="preserve"> </w:t>
      </w:r>
      <w:r>
        <w:t xml:space="preserve">match the constants, every citation resolves. Documentation rot is a defect class, and it</w:t>
      </w:r>
      <w:r>
        <w:t xml:space="preserve"> </w:t>
      </w:r>
      <w:r>
        <w:t xml:space="preserve">can be tested for.</w:t>
      </w:r>
    </w:p>
    <w:p>
      <w:r>
        <w:pict>
          <v:rect style="width:0;height:1.5pt" o:hralign="center" o:hrstd="t" o:hr="t"/>
        </w:pict>
      </w:r>
    </w:p>
    <w:p>
      <w:pPr>
        <w:pStyle w:val="Heading2"/>
      </w:pPr>
      <w:bookmarkStart w:id="35" w:name="technical-debt"/>
      <w:r>
        <w:t xml:space="preserve">12. Technical debt</w:t>
      </w:r>
      <w:bookmarkEnd w:id="35"/>
    </w:p>
    <w:p>
      <w:pPr>
        <w:pStyle w:val="FirstParagraph"/>
      </w:pPr>
      <w:r>
        <w:rPr>
          <w:b/>
        </w:rPr>
        <w:t xml:space="preserve">Full document:</w:t>
      </w:r>
      <w:r>
        <w:rPr>
          <w:b/>
        </w:rPr>
        <w:t xml:space="preserve"> </w:t>
      </w:r>
      <w:r>
        <w:rPr>
          <w:rStyle w:val="VerbatimChar"/>
          <w:b/>
        </w:rPr>
        <w:t xml:space="preserve">08-technical-debt.md</w:t>
      </w:r>
      <w:r>
        <w:rPr>
          <w:b/>
        </w:rPr>
        <w:t xml:space="preserve">. Repayment plan:</w:t>
      </w:r>
      <w:r>
        <w:rPr>
          <w:b/>
        </w:rPr>
        <w:t xml:space="preserve"> </w:t>
      </w:r>
      <w:r>
        <w:rPr>
          <w:rStyle w:val="VerbatimChar"/>
          <w:b/>
        </w:rPr>
        <w:t xml:space="preserve">12-maintenance-and-evolution.md</w:t>
      </w:r>
      <w:r>
        <w:rPr>
          <w:b/>
        </w:rPr>
        <w:t xml:space="preserve"> </w:t>
      </w:r>
      <w:r>
        <w:rPr>
          <w:b/>
        </w:rPr>
        <w:t xml:space="preserve">Section 4.</w:t>
      </w:r>
    </w:p>
    <w:p>
      <w:pPr>
        <w:pStyle w:val="BodyText"/>
      </w:pPr>
      <w:r>
        <w:rPr>
          <w:b/>
        </w:rPr>
        <w:t xml:space="preserve">Twenty-three items, every one recorded at the moment the shortcut was taken.</w:t>
      </w:r>
      <w:r>
        <w:t xml:space="preserve"> </w:t>
      </w:r>
      <w:r>
        <w:t xml:space="preserve">Each</w:t>
      </w:r>
      <w:r>
        <w:t xml:space="preserve"> </w:t>
      </w:r>
      <w:r>
        <w:t xml:space="preserve">records Debt → Cause → Impact → Priority → Proposed Resolution, classified</w:t>
      </w:r>
      <w:r>
        <w:t xml:space="preserve"> </w:t>
      </w:r>
      <w:r>
        <w:rPr>
          <w:b/>
        </w:rPr>
        <w:t xml:space="preserve">A</w:t>
      </w:r>
      <w:r>
        <w:t xml:space="preserve"> </w:t>
      </w:r>
      <w:r>
        <w:t xml:space="preserve">(acceptable),</w:t>
      </w:r>
      <w:r>
        <w:t xml:space="preserve"> </w:t>
      </w:r>
      <w:r>
        <w:rPr>
          <w:b/>
        </w:rPr>
        <w:t xml:space="preserve">S</w:t>
      </w:r>
      <w:r>
        <w:t xml:space="preserve"> </w:t>
      </w:r>
      <w:r>
        <w:t xml:space="preserve">(scheduled) or</w:t>
      </w:r>
      <w:r>
        <w:t xml:space="preserve"> </w:t>
      </w:r>
      <w:r>
        <w:rPr>
          <w:b/>
        </w:rPr>
        <w:t xml:space="preserve">C</w:t>
      </w:r>
      <w:r>
        <w:t xml:space="preserve"> </w:t>
      </w:r>
      <w:r>
        <w:t xml:space="preserve">(critical).</w:t>
      </w:r>
    </w:p>
    <w:tbl>
      <w:tblPr>
        <w:tblStyle w:val="TableGrid"/>
        <w:tblW w:type="dxa" w:w="9029"/>
        <w:tblLayout w:type="fixed"/>
        <w:tblLook w:firstRow="1"/>
      </w:tblPr>
      <w:tblGrid>
        <w:gridCol w:w="1915"/>
        <w:gridCol w:w="820"/>
        <w:gridCol w:w="6294"/>
      </w:tblGrid>
      <w:tr>
        <w:trPr>
          <w:cnfStyle w:firstRow="1"/>
        </w:trPr>
        <w:tc>
          <w:tcPr>
            <w:tcW w:type="dxa" w:w="1915"/>
            <w:tcBorders>
              <w:bottom w:val="single"/>
            </w:tcBorders>
            <w:vAlign w:val="bottom"/>
          </w:tcPr>
          <w:p>
            <w:pPr>
              <w:pStyle w:val="Compact"/>
              <w:jc w:val="left"/>
            </w:pPr>
            <w:r>
              <w:t xml:space="preserve">Class</w:t>
            </w:r>
          </w:p>
        </w:tc>
        <w:tc>
          <w:tcPr>
            <w:tcW w:type="dxa" w:w="820"/>
            <w:tcBorders>
              <w:bottom w:val="single"/>
            </w:tcBorders>
            <w:vAlign w:val="bottom"/>
          </w:tcPr>
          <w:p>
            <w:pPr>
              <w:pStyle w:val="Compact"/>
              <w:jc w:val="right"/>
            </w:pPr>
            <w:r>
              <w:t xml:space="preserve">Count</w:t>
            </w:r>
          </w:p>
        </w:tc>
        <w:tc>
          <w:tcPr>
            <w:tcW w:type="dxa" w:w="6294"/>
            <w:tcBorders>
              <w:bottom w:val="single"/>
            </w:tcBorders>
            <w:vAlign w:val="bottom"/>
          </w:tcPr>
          <w:p>
            <w:pPr>
              <w:pStyle w:val="Compact"/>
              <w:jc w:val="left"/>
            </w:pPr>
            <w:r>
              <w:t xml:space="preserve">Meaning</w:t>
            </w:r>
          </w:p>
        </w:tc>
      </w:tr>
      <w:tr>
        <w:tc>
          <w:tcPr>
            <w:tcW w:type="dxa" w:w="1915"/>
          </w:tcPr>
          <w:p>
            <w:pPr>
              <w:pStyle w:val="Compact"/>
              <w:jc w:val="left"/>
            </w:pPr>
            <w:r>
              <w:rPr>
                <w:b/>
              </w:rPr>
              <w:t xml:space="preserve">C — Critical</w:t>
            </w:r>
          </w:p>
        </w:tc>
        <w:tc>
          <w:tcPr>
            <w:tcW w:type="dxa" w:w="820"/>
          </w:tcPr>
          <w:p>
            <w:pPr>
              <w:pStyle w:val="Compact"/>
              <w:jc w:val="right"/>
            </w:pPr>
            <w:r>
              <w:t xml:space="preserve">2</w:t>
            </w:r>
          </w:p>
        </w:tc>
        <w:tc>
          <w:tcPr>
            <w:tcW w:type="dxa" w:w="6294"/>
          </w:tcPr>
          <w:p>
            <w:pPr>
              <w:pStyle w:val="Compact"/>
              <w:jc w:val="left"/>
            </w:pPr>
            <w:r>
              <w:t xml:space="preserve">Must go before any real user: TD-17, TD-21</w:t>
            </w:r>
          </w:p>
        </w:tc>
      </w:tr>
      <w:tr>
        <w:tc>
          <w:tcPr>
            <w:tcW w:type="dxa" w:w="1915"/>
          </w:tcPr>
          <w:p>
            <w:pPr>
              <w:pStyle w:val="Compact"/>
              <w:jc w:val="left"/>
            </w:pPr>
            <w:r>
              <w:rPr>
                <w:b/>
              </w:rPr>
              <w:t xml:space="preserve">S — Scheduled</w:t>
            </w:r>
          </w:p>
        </w:tc>
        <w:tc>
          <w:tcPr>
            <w:tcW w:type="dxa" w:w="820"/>
          </w:tcPr>
          <w:p>
            <w:pPr>
              <w:pStyle w:val="Compact"/>
              <w:jc w:val="right"/>
            </w:pPr>
            <w:r>
              <w:t xml:space="preserve">10</w:t>
            </w:r>
          </w:p>
        </w:tc>
        <w:tc>
          <w:tcPr>
            <w:tcW w:type="dxa" w:w="6294"/>
          </w:tcPr>
          <w:p>
            <w:pPr>
              <w:pStyle w:val="Compact"/>
              <w:jc w:val="left"/>
            </w:pPr>
            <w:r>
              <w:t xml:space="preserve">Named release, ordered by interest rate</w:t>
            </w:r>
          </w:p>
        </w:tc>
      </w:tr>
      <w:tr>
        <w:tc>
          <w:tcPr>
            <w:tcW w:type="dxa" w:w="1915"/>
          </w:tcPr>
          <w:p>
            <w:pPr>
              <w:pStyle w:val="Compact"/>
              <w:jc w:val="left"/>
            </w:pPr>
            <w:r>
              <w:rPr>
                <w:b/>
              </w:rPr>
              <w:t xml:space="preserve">A — Acceptable</w:t>
            </w:r>
          </w:p>
        </w:tc>
        <w:tc>
          <w:tcPr>
            <w:tcW w:type="dxa" w:w="820"/>
          </w:tcPr>
          <w:p>
            <w:pPr>
              <w:pStyle w:val="Compact"/>
              <w:jc w:val="right"/>
            </w:pPr>
            <w:r>
              <w:t xml:space="preserve">11</w:t>
            </w:r>
          </w:p>
        </w:tc>
        <w:tc>
          <w:tcPr>
            <w:tcW w:type="dxa" w:w="6294"/>
          </w:tcPr>
          <w:p>
            <w:pPr>
              <w:pStyle w:val="Compact"/>
              <w:jc w:val="left"/>
            </w:pPr>
            <w:r>
              <w:t xml:space="preserve">Reasonable trade-offs, recorded with reasoning</w:t>
            </w:r>
          </w:p>
        </w:tc>
      </w:tr>
    </w:tbl>
    <w:p>
      <w:pPr>
        <w:pStyle w:val="BodyText"/>
      </w:pPr>
      <w:r>
        <w:rPr>
          <w:b/>
        </w:rPr>
        <w:t xml:space="preserve">Two items have demonstrated their cost with dates.</w:t>
      </w:r>
      <w:r>
        <w:t xml:space="preserve"> </w:t>
      </w:r>
      <w:r>
        <w:t xml:space="preserve">TD-18 — one database serving</w:t>
      </w:r>
      <w:r>
        <w:t xml:space="preserve"> </w:t>
      </w:r>
      <w:r>
        <w:t xml:space="preserve">development and production — produced two false test failures by two different mechanisms,</w:t>
      </w:r>
      <w:r>
        <w:t xml:space="preserve"> </w:t>
      </w:r>
      <w:r>
        <w:t xml:space="preserve">both recorded. Debt whose cost has been observed twice is no longer theoretical.</w:t>
      </w:r>
    </w:p>
    <w:p>
      <w:pPr>
        <w:pStyle w:val="BodyText"/>
      </w:pPr>
      <w:r>
        <w:rPr>
          <w:b/>
        </w:rPr>
        <w:t xml:space="preserve">The most important item is TD-03</w:t>
      </w:r>
      <w:r>
        <w:t xml:space="preserve">: the clustering constants, 300 metres and 30 minutes,</w:t>
      </w:r>
      <w:r>
        <w:t xml:space="preserve"> </w:t>
      </w:r>
      <w:r>
        <w:t xml:space="preserve">are untuned guesses. They are the two most consequential numbers in the system — they</w:t>
      </w:r>
      <w:r>
        <w:t xml:space="preserve"> </w:t>
      </w:r>
      <w:r>
        <w:t xml:space="preserve">decide whether six reports are one flood or six — and repaying this needs real data, which</w:t>
      </w:r>
      <w:r>
        <w:t xml:space="preserve"> </w:t>
      </w:r>
      <w:r>
        <w:t xml:space="preserve">needs users. The architecture was built so that repaying it is cheap: reports are the</w:t>
      </w:r>
      <w:r>
        <w:t xml:space="preserve"> </w:t>
      </w:r>
      <w:r>
        <w:t xml:space="preserve">history, incidents are derived, and a replay produces a new map under new parameters with</w:t>
      </w:r>
      <w:r>
        <w:t xml:space="preserve"> </w:t>
      </w:r>
      <w:r>
        <w:t xml:space="preserve">no migration.</w:t>
      </w:r>
    </w:p>
    <w:p>
      <w:r>
        <w:pict>
          <v:rect style="width:0;height:1.5pt" o:hralign="center" o:hrstd="t" o:hr="t"/>
        </w:pict>
      </w:r>
    </w:p>
    <w:p>
      <w:pPr>
        <w:pStyle w:val="Heading2"/>
      </w:pPr>
      <w:bookmarkStart w:id="36" w:name="deployment-and-accessibility"/>
      <w:r>
        <w:t xml:space="preserve">13. Deployment and accessibility</w:t>
      </w:r>
      <w:bookmarkEnd w:id="36"/>
    </w:p>
    <w:p>
      <w:pPr>
        <w:pStyle w:val="FirstParagraph"/>
      </w:pPr>
      <w:r>
        <w:rPr>
          <w:b/>
        </w:rPr>
        <w:t xml:space="preserve">Live:</w:t>
      </w:r>
      <w:r>
        <w:t xml:space="preserve"> </w:t>
      </w:r>
      <w:r>
        <w:t xml:space="preserve">https://nkwanta.onrender.com/ —</w:t>
      </w:r>
      <w:r>
        <w:t xml:space="preserve"> </w:t>
      </w:r>
      <w:r>
        <w:rPr>
          <w:b/>
        </w:rPr>
        <w:t xml:space="preserve">Repository:</w:t>
      </w:r>
      <w:r>
        <w:t xml:space="preserve"> </w:t>
      </w:r>
      <w:r>
        <w:t xml:space="preserve">https://github.com/TheoCaesar/nkwanta</w:t>
      </w:r>
      <w:r>
        <w:t xml:space="preserve"> </w:t>
      </w:r>
      <w:r>
        <w:t xml:space="preserve">Credentials and a seven-step walkthrough:</w:t>
      </w:r>
      <w:r>
        <w:t xml:space="preserve"> </w:t>
      </w:r>
      <w:r>
        <w:rPr>
          <w:rStyle w:val="VerbatimChar"/>
        </w:rPr>
        <w:t xml:space="preserve">Deployment_and_Source_Links.txt</w:t>
      </w:r>
      <w:r>
        <w:t xml:space="preserve">.</w:t>
      </w:r>
    </w:p>
    <w:tbl>
      <w:tblPr>
        <w:tblStyle w:val="TableGrid"/>
        <w:tblW w:type="dxa" w:w="9029"/>
        <w:tblLayout w:type="fixed"/>
        <w:tblLook w:firstRow="1"/>
      </w:tblPr>
      <w:tblGrid>
        <w:gridCol w:w="4788"/>
        <w:gridCol w:w="4241"/>
      </w:tblGrid>
      <w:tr>
        <w:trPr>
          <w:cnfStyle w:firstRow="1"/>
        </w:trPr>
        <w:tc>
          <w:tcPr>
            <w:tcW w:type="dxa" w:w="4788"/>
            <w:tcBorders>
              <w:bottom w:val="single"/>
            </w:tcBorders>
            <w:vAlign w:val="bottom"/>
          </w:tcPr>
          <w:p>
            <w:pPr>
              <w:pStyle w:val="Compact"/>
              <w:jc w:val="left"/>
            </w:pPr>
            <w:r>
              <w:t xml:space="preserve">Component</w:t>
            </w:r>
          </w:p>
        </w:tc>
        <w:tc>
          <w:tcPr>
            <w:tcW w:type="dxa" w:w="4241"/>
            <w:tcBorders>
              <w:bottom w:val="single"/>
            </w:tcBorders>
            <w:vAlign w:val="bottom"/>
          </w:tcPr>
          <w:p>
            <w:pPr>
              <w:pStyle w:val="Compact"/>
              <w:jc w:val="left"/>
            </w:pPr>
            <w:r>
              <w:t xml:space="preserve">Host</w:t>
            </w:r>
          </w:p>
        </w:tc>
      </w:tr>
      <w:tr>
        <w:tc>
          <w:tcPr>
            <w:tcW w:type="dxa" w:w="4788"/>
          </w:tcPr>
          <w:p>
            <w:pPr>
              <w:pStyle w:val="Compact"/>
              <w:jc w:val="left"/>
            </w:pPr>
            <w:r>
              <w:t xml:space="preserve">API, worker and the web application</w:t>
            </w:r>
          </w:p>
        </w:tc>
        <w:tc>
          <w:tcPr>
            <w:tcW w:type="dxa" w:w="4241"/>
          </w:tcPr>
          <w:p>
            <w:pPr>
              <w:pStyle w:val="Compact"/>
              <w:jc w:val="left"/>
            </w:pPr>
            <w:r>
              <w:t xml:space="preserve">Render (free tier, one process)</w:t>
            </w:r>
          </w:p>
        </w:tc>
      </w:tr>
      <w:tr>
        <w:tc>
          <w:tcPr>
            <w:tcW w:type="dxa" w:w="4788"/>
          </w:tcPr>
          <w:p>
            <w:pPr>
              <w:pStyle w:val="Compact"/>
              <w:jc w:val="left"/>
            </w:pPr>
            <w:r>
              <w:t xml:space="preserve">PostgreSQL 16 + PostGIS 3.6</w:t>
            </w:r>
          </w:p>
        </w:tc>
        <w:tc>
          <w:tcPr>
            <w:tcW w:type="dxa" w:w="4241"/>
          </w:tcPr>
          <w:p>
            <w:pPr>
              <w:pStyle w:val="Compact"/>
              <w:jc w:val="left"/>
            </w:pPr>
            <w:r>
              <w:t xml:space="preserve">Neon</w:t>
            </w:r>
          </w:p>
        </w:tc>
      </w:tr>
    </w:tbl>
    <w:p>
      <w:pPr>
        <w:pStyle w:val="BodyText"/>
      </w:pPr>
      <w:r>
        <w:t xml:space="preserve">The application is served from the root by FastAPI — there is no separate front-end host</w:t>
      </w:r>
      <w:r>
        <w:t xml:space="preserve"> </w:t>
      </w:r>
      <w:r>
        <w:t xml:space="preserve">(D-012). The outbox worker runs in-process as an asyncio task, because the free tier permits</w:t>
      </w:r>
      <w:r>
        <w:t xml:space="preserve"> </w:t>
      </w:r>
      <w:r>
        <w:t xml:space="preserve">one service; this is forced rather than chosen, and recorded as</w:t>
      </w:r>
      <w:r>
        <w:t xml:space="preserve"> </w:t>
      </w:r>
      <w:r>
        <w:rPr>
          <w:b/>
        </w:rPr>
        <w:t xml:space="preserve">TD-01</w:t>
      </w:r>
      <w:r>
        <w:t xml:space="preserve">.</w:t>
      </w:r>
    </w:p>
    <w:p>
      <w:pPr>
        <w:pStyle w:val="BodyText"/>
      </w:pPr>
      <w:r>
        <w:rPr>
          <w:b/>
        </w:rPr>
        <w:t xml:space="preserve">Known deployment characteristics</w:t>
      </w:r>
      <w:r>
        <w:t xml:space="preserve">, stated rather than hidden: the free instance sleeps</w:t>
      </w:r>
      <w:r>
        <w:t xml:space="preserve"> </w:t>
      </w:r>
      <w:r>
        <w:t xml:space="preserve">after inactivity, so the first request can take up to a minute (TD-09). Demonstration seed</w:t>
      </w:r>
      <w:r>
        <w:t xml:space="preserve"> </w:t>
      </w:r>
      <w:r>
        <w:t xml:space="preserve">and gateway-failure endpoints exist in production for the viva, and are the two Critical</w:t>
      </w:r>
      <w:r>
        <w:t xml:space="preserve"> </w:t>
      </w:r>
      <w:r>
        <w:t xml:space="preserve">debt items.</w:t>
      </w:r>
    </w:p>
    <w:p>
      <w:r>
        <w:pict>
          <v:rect style="width:0;height:1.5pt" o:hralign="center" o:hrstd="t" o:hr="t"/>
        </w:pict>
      </w:r>
    </w:p>
    <w:p>
      <w:pPr>
        <w:pStyle w:val="Heading2"/>
      </w:pPr>
      <w:bookmarkStart w:id="37" w:name="user-manual"/>
      <w:r>
        <w:t xml:space="preserve">14. User manual</w:t>
      </w:r>
      <w:bookmarkEnd w:id="37"/>
    </w:p>
    <w:p>
      <w:pPr>
        <w:pStyle w:val="FirstParagraph"/>
      </w:pPr>
      <w:r>
        <w:rPr>
          <w:b/>
        </w:rPr>
        <w:t xml:space="preserve">Full document:</w:t>
      </w:r>
      <w:r>
        <w:rPr>
          <w:b/>
        </w:rPr>
        <w:t xml:space="preserve"> </w:t>
      </w:r>
      <w:r>
        <w:rPr>
          <w:rStyle w:val="VerbatimChar"/>
          <w:b/>
        </w:rPr>
        <w:t xml:space="preserve">13-user-manual.md</w:t>
      </w:r>
      <w:r>
        <w:rPr>
          <w:b/>
        </w:rPr>
        <w:t xml:space="preserve">.</w:t>
      </w:r>
      <w:r>
        <w:t xml:space="preserve"> </w:t>
      </w:r>
      <w:r>
        <w:t xml:space="preserve">Per role — commuter, officer, warden,</w:t>
      </w:r>
      <w:r>
        <w:t xml:space="preserve"> </w:t>
      </w:r>
      <w:r>
        <w:t xml:space="preserve">administrator — with troubleshooting and demonstration credentials.</w:t>
      </w:r>
    </w:p>
    <w:p>
      <w:pPr>
        <w:pStyle w:val="BodyText"/>
      </w:pPr>
      <w:r>
        <w:t xml:space="preserve">It opens with a safety note, before anything else:</w:t>
      </w:r>
      <w:r>
        <w:t xml:space="preserve"> </w:t>
      </w:r>
      <w:r>
        <w:rPr>
          <w:b/>
        </w:rPr>
        <w:t xml:space="preserve">never use this while driving</w:t>
      </w:r>
      <w:r>
        <w:t xml:space="preserve">, and</w:t>
      </w:r>
      <w:r>
        <w:t xml:space="preserve"> </w:t>
      </w:r>
      <w:r>
        <w:rPr>
          <w:b/>
        </w:rPr>
        <w:t xml:space="preserve">the system does not call the police or an ambulance.</w:t>
      </w:r>
      <w:r>
        <w:t xml:space="preserve"> </w:t>
      </w:r>
      <w:r>
        <w:t xml:space="preserve">A manual that explains reporting</w:t>
      </w:r>
      <w:r>
        <w:t xml:space="preserve"> </w:t>
      </w:r>
      <w:r>
        <w:t xml:space="preserve">before saying that has put the instruction where nobody reads it.</w:t>
      </w:r>
    </w:p>
    <w:p>
      <w:r>
        <w:pict>
          <v:rect style="width:0;height:1.5pt" o:hralign="center" o:hrstd="t" o:hr="t"/>
        </w:pict>
      </w:r>
    </w:p>
    <w:p>
      <w:pPr>
        <w:pStyle w:val="Heading2"/>
      </w:pPr>
      <w:bookmarkStart w:id="38" w:name="maintenance-strategy"/>
      <w:r>
        <w:t xml:space="preserve">15. Maintenance strategy</w:t>
      </w:r>
      <w:bookmarkEnd w:id="38"/>
    </w:p>
    <w:p>
      <w:pPr>
        <w:pStyle w:val="FirstParagraph"/>
      </w:pPr>
      <w:r>
        <w:rPr>
          <w:b/>
        </w:rPr>
        <w:t xml:space="preserve">Full document:</w:t>
      </w:r>
      <w:r>
        <w:rPr>
          <w:b/>
        </w:rPr>
        <w:t xml:space="preserve"> </w:t>
      </w:r>
      <w:r>
        <w:rPr>
          <w:rStyle w:val="VerbatimChar"/>
          <w:b/>
        </w:rPr>
        <w:t xml:space="preserve">12-maintenance-and-evolution.md</w:t>
      </w:r>
      <w:r>
        <w:rPr>
          <w:b/>
        </w:rPr>
        <w:t xml:space="preserve">.</w:t>
      </w:r>
    </w:p>
    <w:p>
      <w:pPr>
        <w:pStyle w:val="BodyText"/>
      </w:pPr>
      <w:r>
        <w:t xml:space="preserve">Built around Lehman’s laws, because they predict what happens here specifically:</w:t>
      </w:r>
    </w:p>
    <w:p>
      <w:pPr>
        <w:numPr>
          <w:ilvl w:val="0"/>
          <w:numId w:val="1004"/>
        </w:numPr>
        <w:pStyle w:val="Compact"/>
      </w:pPr>
      <w:r>
        <w:rPr>
          <w:b/>
        </w:rPr>
        <w:t xml:space="preserve">Continuing change.</w:t>
      </w:r>
      <w:r>
        <w:t xml:space="preserve"> </w:t>
      </w:r>
      <w:r>
        <w:t xml:space="preserve">The two clustering constants will be wrong the moment a real</w:t>
      </w:r>
      <w:r>
        <w:t xml:space="preserve"> </w:t>
      </w:r>
      <w:r>
        <w:t xml:space="preserve">commuter appears. Reports permanent + incidents derived is the property that makes fixing</w:t>
      </w:r>
      <w:r>
        <w:t xml:space="preserve"> </w:t>
      </w:r>
      <w:r>
        <w:t xml:space="preserve">them cheap.</w:t>
      </w:r>
    </w:p>
    <w:p>
      <w:pPr>
        <w:numPr>
          <w:ilvl w:val="0"/>
          <w:numId w:val="1004"/>
        </w:numPr>
        <w:pStyle w:val="Compact"/>
      </w:pPr>
      <w:r>
        <w:rPr>
          <w:b/>
        </w:rPr>
        <w:t xml:space="preserve">Increasing complexity.</w:t>
      </w:r>
      <w:r>
        <w:t xml:space="preserve"> </w:t>
      </w:r>
      <w:r>
        <w:t xml:space="preserve">The dependency rule is the resistance — a decision that stays</w:t>
      </w:r>
      <w:r>
        <w:t xml:space="preserve"> </w:t>
      </w:r>
      <w:r>
        <w:t xml:space="preserve">pure stays testable, and a decision that stays testable stays cheap to change. It has</w:t>
      </w:r>
      <w:r>
        <w:t xml:space="preserve"> </w:t>
      </w:r>
      <w:r>
        <w:t xml:space="preserve">already failed once, in the layer with the least structure (the CSS).</w:t>
      </w:r>
    </w:p>
    <w:p>
      <w:pPr>
        <w:numPr>
          <w:ilvl w:val="0"/>
          <w:numId w:val="1004"/>
        </w:numPr>
        <w:pStyle w:val="Compact"/>
      </w:pPr>
      <w:r>
        <w:rPr>
          <w:b/>
        </w:rPr>
        <w:t xml:space="preserve">Declining quality.</w:t>
      </w:r>
      <w:r>
        <w:t xml:space="preserve"> </w:t>
      </w:r>
      <w:r>
        <w:t xml:space="preserve">508 tests, 49 of which check documents against code.</w:t>
      </w:r>
    </w:p>
    <w:p>
      <w:pPr>
        <w:pStyle w:val="FirstParagraph"/>
      </w:pPr>
      <w:r>
        <w:t xml:space="preserve">Routine operations are listed with frequencies: outbox rows at</w:t>
      </w:r>
      <w:r>
        <w:t xml:space="preserve"> </w:t>
      </w:r>
      <w:r>
        <w:rPr>
          <w:rStyle w:val="VerbatimChar"/>
        </w:rPr>
        <w:t xml:space="preserve">MAX_ATTEMPTS</w:t>
      </w:r>
      <w:r>
        <w:t xml:space="preserve"> </w:t>
      </w:r>
      <w:r>
        <w:t xml:space="preserve">(a poison</w:t>
      </w:r>
      <w:r>
        <w:t xml:space="preserve"> </w:t>
      </w:r>
      <w:r>
        <w:t xml:space="preserve">message is skipped forever and is silent), breaker state, staleness sweep, dependency</w:t>
      </w:r>
      <w:r>
        <w:t xml:space="preserve"> </w:t>
      </w:r>
      <w:r>
        <w:t xml:space="preserve">audit, and</w:t>
      </w:r>
      <w:r>
        <w:t xml:space="preserve"> </w:t>
      </w:r>
      <w:r>
        <w:rPr>
          <w:b/>
        </w:rPr>
        <w:t xml:space="preserve">a quarterly restore test — a backup nobody has restored is a hypothesis.</w:t>
      </w:r>
    </w:p>
    <w:p>
      <w:r>
        <w:pict>
          <v:rect style="width:0;height:1.5pt" o:hralign="center" o:hrstd="t" o:hr="t"/>
        </w:pict>
      </w:r>
    </w:p>
    <w:p>
      <w:pPr>
        <w:pStyle w:val="Heading2"/>
      </w:pPr>
      <w:bookmarkStart w:id="39" w:name="future-evolution"/>
      <w:r>
        <w:t xml:space="preserve">16. Future evolution</w:t>
      </w:r>
      <w:bookmarkEnd w:id="39"/>
    </w:p>
    <w:p>
      <w:pPr>
        <w:pStyle w:val="FirstParagraph"/>
      </w:pPr>
      <w:r>
        <w:t xml:space="preserve">Ordered by value against cost to the existing design (</w:t>
      </w:r>
      <w:r>
        <w:rPr>
          <w:rStyle w:val="VerbatimChar"/>
        </w:rPr>
        <w:t xml:space="preserve">12-</w:t>
      </w:r>
      <w:r>
        <w:t xml:space="preserve"> </w:t>
      </w:r>
      <w:r>
        <w:t xml:space="preserve">Section 6):</w:t>
      </w:r>
    </w:p>
    <w:p>
      <w:pPr>
        <w:numPr>
          <w:ilvl w:val="0"/>
          <w:numId w:val="1005"/>
        </w:numPr>
        <w:pStyle w:val="Compact"/>
      </w:pPr>
      <w:r>
        <w:rPr>
          <w:b/>
        </w:rPr>
        <w:t xml:space="preserve">Tune the clustering constants against real data.</w:t>
      </w:r>
      <w:r>
        <w:t xml:space="preserve"> </w:t>
      </w:r>
      <w:r>
        <w:t xml:space="preserve">Not a feature — the difference</w:t>
      </w:r>
      <w:r>
        <w:t xml:space="preserve"> </w:t>
      </w:r>
      <w:r>
        <w:t xml:space="preserve">between a system that works and one that appears to. Everything else assumes the</w:t>
      </w:r>
      <w:r>
        <w:t xml:space="preserve"> </w:t>
      </w:r>
      <w:r>
        <w:t xml:space="preserve">grouping is right.</w:t>
      </w:r>
    </w:p>
    <w:p>
      <w:pPr>
        <w:numPr>
          <w:ilvl w:val="0"/>
          <w:numId w:val="1005"/>
        </w:numPr>
        <w:pStyle w:val="Compact"/>
      </w:pPr>
      <w:r>
        <w:rPr>
          <w:b/>
        </w:rPr>
        <w:t xml:space="preserve">Extract the worker.</w:t>
      </w:r>
      <w:r>
        <w:t xml:space="preserve"> </w:t>
      </w:r>
      <w:r>
        <w:t xml:space="preserve">The outbox already decouples it; a deployment change.</w:t>
      </w:r>
    </w:p>
    <w:p>
      <w:pPr>
        <w:numPr>
          <w:ilvl w:val="0"/>
          <w:numId w:val="1005"/>
        </w:numPr>
        <w:pStyle w:val="Compact"/>
      </w:pPr>
      <w:r>
        <w:rPr>
          <w:b/>
        </w:rPr>
        <w:t xml:space="preserve">Real notification delivery.</w:t>
      </w:r>
      <w:r>
        <w:t xml:space="preserve"> </w:t>
      </w:r>
      <w:r>
        <w:t xml:space="preserve">The breaker, the idempotency keys and the at-least-once</w:t>
      </w:r>
      <w:r>
        <w:t xml:space="preserve"> </w:t>
      </w:r>
      <w:r>
        <w:t xml:space="preserve">semantics were all built for a real gateway. The work is an adapter, not a redesign.</w:t>
      </w:r>
    </w:p>
    <w:p>
      <w:pPr>
        <w:numPr>
          <w:ilvl w:val="0"/>
          <w:numId w:val="1005"/>
        </w:numPr>
        <w:pStyle w:val="Compact"/>
      </w:pPr>
      <w:r>
        <w:rPr>
          <w:b/>
        </w:rPr>
        <w:t xml:space="preserve">Reroute advisories.</w:t>
      </w:r>
      <w:r>
        <w:t xml:space="preserve"> </w:t>
      </w:r>
      <w:r>
        <w:t xml:space="preserve">Needs a routing engine and full road-network data.</w:t>
      </w:r>
    </w:p>
    <w:p>
      <w:pPr>
        <w:numPr>
          <w:ilvl w:val="0"/>
          <w:numId w:val="1005"/>
        </w:numPr>
        <w:pStyle w:val="Compact"/>
      </w:pPr>
      <w:r>
        <w:rPr>
          <w:b/>
        </w:rPr>
        <w:t xml:space="preserve">Ride-sharing — should stay excluded.</w:t>
      </w:r>
      <w:r>
        <w:t xml:space="preserve"> </w:t>
      </w:r>
      <w:r>
        <w:t xml:space="preserve">Not cut for lack of time. It is a second</w:t>
      </w:r>
      <w:r>
        <w:t xml:space="preserve"> </w:t>
      </w:r>
      <w:r>
        <w:t xml:space="preserve">product wearing the same name, and building half of it inside this one would damage</w:t>
      </w:r>
      <w:r>
        <w:t xml:space="preserve"> </w:t>
      </w:r>
      <w:r>
        <w:t xml:space="preserve">both. If ever built, it should be a separate system reading Nkwanta’s public incident</w:t>
      </w:r>
      <w:r>
        <w:t xml:space="preserve"> </w:t>
      </w:r>
      <w:r>
        <w:t xml:space="preserve">feed.</w:t>
      </w:r>
    </w:p>
    <w:p>
      <w:pPr>
        <w:numPr>
          <w:ilvl w:val="0"/>
          <w:numId w:val="1005"/>
        </w:numPr>
        <w:pStyle w:val="Compact"/>
      </w:pPr>
      <w:r>
        <w:rPr>
          <w:b/>
        </w:rPr>
        <w:t xml:space="preserve">Never: direct emergency dispatch.</w:t>
      </w:r>
      <w:r>
        <w:t xml:space="preserve"> </w:t>
      </w:r>
      <w:r>
        <w:t xml:space="preserve">NFR-05. A system that appears to summon an</w:t>
      </w:r>
      <w:r>
        <w:t xml:space="preserve"> </w:t>
      </w:r>
      <w:r>
        <w:t xml:space="preserve">ambulance and does not is worse than no system.</w:t>
      </w:r>
    </w:p>
    <w:p>
      <w:r>
        <w:pict>
          <v:rect style="width:0;height:1.5pt" o:hralign="center" o:hrstd="t" o:hr="t"/>
        </w:pict>
      </w:r>
    </w:p>
    <w:p>
      <w:pPr>
        <w:pStyle w:val="Heading2"/>
      </w:pPr>
      <w:bookmarkStart w:id="40" w:name="limitations"/>
      <w:r>
        <w:t xml:space="preserve">17. Limitations</w:t>
      </w:r>
      <w:bookmarkEnd w:id="40"/>
    </w:p>
    <w:p>
      <w:pPr>
        <w:pStyle w:val="FirstParagraph"/>
      </w:pPr>
      <w:r>
        <w:t xml:space="preserve">Stated plainly. Every one is recorded elsewhere with its reasoning; none is discovered by</w:t>
      </w:r>
      <w:r>
        <w:t xml:space="preserve"> </w:t>
      </w:r>
      <w:r>
        <w:t xml:space="preserve">the reader.</w:t>
      </w:r>
    </w:p>
    <w:tbl>
      <w:tblPr>
        <w:tblStyle w:val="TableGrid"/>
        <w:tblW w:type="dxa" w:w="9029"/>
        <w:tblLayout w:type="fixed"/>
        <w:tblLook w:firstRow="1"/>
      </w:tblPr>
      <w:tblGrid>
        <w:gridCol w:w="3066"/>
        <w:gridCol w:w="5963"/>
      </w:tblGrid>
      <w:tr>
        <w:trPr>
          <w:cnfStyle w:firstRow="1"/>
        </w:trPr>
        <w:tc>
          <w:tcPr>
            <w:tcW w:type="dxa" w:w="3066"/>
            <w:tcBorders>
              <w:bottom w:val="single"/>
            </w:tcBorders>
            <w:vAlign w:val="bottom"/>
          </w:tcPr>
          <w:p>
            <w:pPr>
              <w:pStyle w:val="Compact"/>
              <w:jc w:val="left"/>
            </w:pPr>
            <w:r>
              <w:t xml:space="preserve">Limitation</w:t>
            </w:r>
          </w:p>
        </w:tc>
        <w:tc>
          <w:tcPr>
            <w:tcW w:type="dxa" w:w="5963"/>
            <w:tcBorders>
              <w:bottom w:val="single"/>
            </w:tcBorders>
            <w:vAlign w:val="bottom"/>
          </w:tcPr>
          <w:p>
            <w:pPr>
              <w:pStyle w:val="Compact"/>
              <w:jc w:val="left"/>
            </w:pPr>
            <w:r>
              <w:t xml:space="preserve">Consequence</w:t>
            </w:r>
          </w:p>
        </w:tc>
      </w:tr>
      <w:tr>
        <w:tc>
          <w:tcPr>
            <w:tcW w:type="dxa" w:w="3066"/>
          </w:tcPr>
          <w:p>
            <w:pPr>
              <w:pStyle w:val="Compact"/>
              <w:jc w:val="left"/>
            </w:pPr>
            <w:r>
              <w:rPr>
                <w:b/>
              </w:rPr>
              <w:t xml:space="preserve">The clustering constants are untuned</w:t>
            </w:r>
          </w:p>
        </w:tc>
        <w:tc>
          <w:tcPr>
            <w:tcW w:type="dxa" w:w="5963"/>
          </w:tcPr>
          <w:p>
            <w:pPr>
              <w:pStyle w:val="Compact"/>
              <w:jc w:val="left"/>
            </w:pPr>
            <w:r>
              <w:t xml:space="preserve">The system’s central judgement rests on two reasoned guesses (TD-03)</w:t>
            </w:r>
          </w:p>
        </w:tc>
      </w:tr>
      <w:tr>
        <w:tc>
          <w:tcPr>
            <w:tcW w:type="dxa" w:w="3066"/>
          </w:tcPr>
          <w:p>
            <w:pPr>
              <w:pStyle w:val="Compact"/>
              <w:jc w:val="left"/>
            </w:pPr>
            <w:r>
              <w:rPr>
                <w:b/>
              </w:rPr>
              <w:t xml:space="preserve">Reputation is unvalidated</w:t>
            </w:r>
          </w:p>
        </w:tc>
        <w:tc>
          <w:tcPr>
            <w:tcW w:type="dxa" w:w="5963"/>
          </w:tcPr>
          <w:p>
            <w:pPr>
              <w:pStyle w:val="Compact"/>
              <w:jc w:val="left"/>
            </w:pPr>
            <w:r>
              <w:t xml:space="preserve">The model is arithmetically sound and empirically unchecked — no real outcomes exist to check it against (TD-04)</w:t>
            </w:r>
          </w:p>
        </w:tc>
      </w:tr>
      <w:tr>
        <w:tc>
          <w:tcPr>
            <w:tcW w:type="dxa" w:w="3066"/>
          </w:tcPr>
          <w:p>
            <w:pPr>
              <w:pStyle w:val="Compact"/>
              <w:jc w:val="left"/>
            </w:pPr>
            <w:r>
              <w:rPr>
                <w:b/>
              </w:rPr>
              <w:t xml:space="preserve">Noisy-OR assumes independent reports</w:t>
            </w:r>
          </w:p>
        </w:tc>
        <w:tc>
          <w:tcPr>
            <w:tcW w:type="dxa" w:w="5963"/>
          </w:tcPr>
          <w:p>
            <w:pPr>
              <w:pStyle w:val="Compact"/>
              <w:jc w:val="left"/>
            </w:pPr>
            <w:r>
              <w:t xml:space="preserve">A crowd watching one accident is not independent, so confidence is overstated in exactly the situation the system is for. Accepted because the</w:t>
            </w:r>
            <w:r>
              <w:t xml:space="preserve"> </w:t>
            </w:r>
            <w:r>
              <w:rPr>
                <w:i/>
              </w:rPr>
              <w:t xml:space="preserve">ordering</w:t>
            </w:r>
            <w:r>
              <w:t xml:space="preserve"> </w:t>
            </w:r>
            <w:r>
              <w:t xml:space="preserve">stays correct, and ordering is what the queue uses (TD-15)</w:t>
            </w:r>
          </w:p>
        </w:tc>
      </w:tr>
      <w:tr>
        <w:tc>
          <w:tcPr>
            <w:tcW w:type="dxa" w:w="3066"/>
          </w:tcPr>
          <w:p>
            <w:pPr>
              <w:pStyle w:val="Compact"/>
              <w:jc w:val="left"/>
            </w:pPr>
            <w:r>
              <w:rPr>
                <w:b/>
              </w:rPr>
              <w:t xml:space="preserve">Clearance (FR-40) is untested</w:t>
            </w:r>
          </w:p>
        </w:tc>
        <w:tc>
          <w:tcPr>
            <w:tcW w:type="dxa" w:w="5963"/>
          </w:tcPr>
          <w:p>
            <w:pPr>
              <w:pStyle w:val="Compact"/>
              <w:jc w:val="left"/>
            </w:pPr>
            <w:r>
              <w:t xml:space="preserve">The code path exists and is wired; no test calls it and no seeded incident demonstrates it</w:t>
            </w:r>
          </w:p>
        </w:tc>
      </w:tr>
      <w:tr>
        <w:tc>
          <w:tcPr>
            <w:tcW w:type="dxa" w:w="3066"/>
          </w:tcPr>
          <w:p>
            <w:pPr>
              <w:pStyle w:val="Compact"/>
              <w:jc w:val="left"/>
            </w:pPr>
            <w:r>
              <w:rPr>
                <w:b/>
              </w:rPr>
              <w:t xml:space="preserve">NFR-07 is unmeasured</w:t>
            </w:r>
          </w:p>
        </w:tc>
        <w:tc>
          <w:tcPr>
            <w:tcW w:type="dxa" w:w="5963"/>
          </w:tcPr>
          <w:p>
            <w:pPr>
              <w:pStyle w:val="Compact"/>
              <w:jc w:val="left"/>
            </w:pPr>
            <w:r>
              <w:t xml:space="preserve">“</w:t>
            </w:r>
            <w:r>
              <w:t xml:space="preserve">Under 3 seconds on 3G</w:t>
            </w:r>
            <w:r>
              <w:t xml:space="preserve">”</w:t>
            </w:r>
            <w:r>
              <w:t xml:space="preserve"> </w:t>
            </w:r>
            <w:r>
              <w:t xml:space="preserve">is a target, not a result</w:t>
            </w:r>
          </w:p>
        </w:tc>
      </w:tr>
      <w:tr>
        <w:tc>
          <w:tcPr>
            <w:tcW w:type="dxa" w:w="3066"/>
          </w:tcPr>
          <w:p>
            <w:pPr>
              <w:pStyle w:val="Compact"/>
              <w:jc w:val="left"/>
            </w:pPr>
            <w:r>
              <w:rPr>
                <w:b/>
              </w:rPr>
              <w:t xml:space="preserve">No end-to-end browser tests</w:t>
            </w:r>
          </w:p>
        </w:tc>
        <w:tc>
          <w:tcPr>
            <w:tcW w:type="dxa" w:w="5963"/>
          </w:tcPr>
          <w:p>
            <w:pPr>
              <w:pStyle w:val="Compact"/>
              <w:jc w:val="left"/>
            </w:pPr>
            <w:r>
              <w:t xml:space="preserve">Three real interface defects were invisible to the suite, including offline never having worked</w:t>
            </w:r>
          </w:p>
        </w:tc>
      </w:tr>
      <w:tr>
        <w:tc>
          <w:tcPr>
            <w:tcW w:type="dxa" w:w="3066"/>
          </w:tcPr>
          <w:p>
            <w:pPr>
              <w:pStyle w:val="Compact"/>
              <w:jc w:val="left"/>
            </w:pPr>
            <w:r>
              <w:rPr>
                <w:b/>
              </w:rPr>
              <w:t xml:space="preserve">No CI</w:t>
            </w:r>
          </w:p>
        </w:tc>
        <w:tc>
          <w:tcPr>
            <w:tcW w:type="dxa" w:w="5963"/>
          </w:tcPr>
          <w:p>
            <w:pPr>
              <w:pStyle w:val="Compact"/>
              <w:jc w:val="left"/>
            </w:pPr>
            <w:r>
              <w:t xml:space="preserve">508 tests are worth nothing on the day nobody runs them (TD-11)</w:t>
            </w:r>
          </w:p>
        </w:tc>
      </w:tr>
      <w:tr>
        <w:tc>
          <w:tcPr>
            <w:tcW w:type="dxa" w:w="3066"/>
          </w:tcPr>
          <w:p>
            <w:pPr>
              <w:pStyle w:val="Compact"/>
              <w:jc w:val="left"/>
            </w:pPr>
            <w:r>
              <w:rPr>
                <w:b/>
              </w:rPr>
              <w:t xml:space="preserve">Single shared database</w:t>
            </w:r>
          </w:p>
        </w:tc>
        <w:tc>
          <w:tcPr>
            <w:tcW w:type="dxa" w:w="5963"/>
          </w:tcPr>
          <w:p>
            <w:pPr>
              <w:pStyle w:val="Compact"/>
              <w:jc w:val="left"/>
            </w:pPr>
            <w:r>
              <w:t xml:space="preserve">No environment in which to test a destructive change safely (TD-18)</w:t>
            </w:r>
          </w:p>
        </w:tc>
      </w:tr>
      <w:tr>
        <w:tc>
          <w:tcPr>
            <w:tcW w:type="dxa" w:w="3066"/>
          </w:tcPr>
          <w:p>
            <w:pPr>
              <w:pStyle w:val="Compact"/>
              <w:jc w:val="left"/>
            </w:pPr>
            <w:r>
              <w:rPr>
                <w:b/>
              </w:rPr>
              <w:t xml:space="preserve">Media stored in PostgreSQL</w:t>
            </w:r>
          </w:p>
        </w:tc>
        <w:tc>
          <w:tcPr>
            <w:tcW w:type="dxa" w:w="5963"/>
          </w:tcPr>
          <w:p>
            <w:pPr>
              <w:pStyle w:val="Compact"/>
              <w:jc w:val="left"/>
            </w:pPr>
            <w:r>
              <w:t xml:space="preserve">The first thing to break under adoption (TD-19)</w:t>
            </w:r>
          </w:p>
        </w:tc>
      </w:tr>
      <w:tr>
        <w:tc>
          <w:tcPr>
            <w:tcW w:type="dxa" w:w="3066"/>
          </w:tcPr>
          <w:p>
            <w:pPr>
              <w:pStyle w:val="Compact"/>
              <w:jc w:val="left"/>
            </w:pPr>
            <w:r>
              <w:rPr>
                <w:b/>
              </w:rPr>
              <w:t xml:space="preserve">Notification delivery is log-only</w:t>
            </w:r>
          </w:p>
        </w:tc>
        <w:tc>
          <w:tcPr>
            <w:tcW w:type="dxa" w:w="5963"/>
          </w:tcPr>
          <w:p>
            <w:pPr>
              <w:pStyle w:val="Compact"/>
              <w:jc w:val="left"/>
            </w:pPr>
            <w:r>
              <w:t xml:space="preserve">No SMS or push; the gateway is a sink (TD-08)</w:t>
            </w:r>
          </w:p>
        </w:tc>
      </w:tr>
    </w:tbl>
    <w:p>
      <w:r>
        <w:pict>
          <v:rect style="width:0;height:1.5pt" o:hralign="center" o:hrstd="t" o:hr="t"/>
        </w:pict>
      </w:r>
    </w:p>
    <w:p>
      <w:pPr>
        <w:pStyle w:val="Heading2"/>
      </w:pPr>
      <w:bookmarkStart w:id="41" w:name="conclusion"/>
      <w:r>
        <w:t xml:space="preserve">18. Conclusion</w:t>
      </w:r>
      <w:bookmarkEnd w:id="41"/>
    </w:p>
    <w:p>
      <w:pPr>
        <w:pStyle w:val="FirstParagraph"/>
      </w:pPr>
      <w:r>
        <w:t xml:space="preserve">The examination rewards visible engineering process, not application size: implementation</w:t>
      </w:r>
      <w:r>
        <w:t xml:space="preserve"> </w:t>
      </w:r>
      <w:r>
        <w:t xml:space="preserve">is 10 marks of 48, and requirements, estimation, design, testing, debt, documentation and</w:t>
      </w:r>
      <w:r>
        <w:t xml:space="preserve"> </w:t>
      </w:r>
      <w:r>
        <w:t xml:space="preserve">evolution are the other 38. Nkwanta was built to that shape deliberately — a small system,</w:t>
      </w:r>
      <w:r>
        <w:t xml:space="preserve"> </w:t>
      </w:r>
      <w:r>
        <w:t xml:space="preserve">documented and tested in depth, rather than a large one thrown together.</w:t>
      </w:r>
    </w:p>
    <w:p>
      <w:pPr>
        <w:pStyle w:val="BodyText"/>
      </w:pPr>
      <w:r>
        <w:t xml:space="preserve">Three things are worth pointing at.</w:t>
      </w:r>
    </w:p>
    <w:p>
      <w:pPr>
        <w:pStyle w:val="BodyText"/>
      </w:pPr>
      <w:r>
        <w:rPr>
          <w:b/>
        </w:rPr>
        <w:t xml:space="preserve">The scope decision.</w:t>
      </w:r>
      <w:r>
        <w:t xml:space="preserve"> </w:t>
      </w:r>
      <w:r>
        <w:t xml:space="preserve">Five features became one pipeline. A 1,948-hour estimate against 48</w:t>
      </w:r>
      <w:r>
        <w:t xml:space="preserve"> </w:t>
      </w:r>
      <w:r>
        <w:t xml:space="preserve">available hours made the cuts arithmetic rather than opinion, and every cut is recorded with</w:t>
      </w:r>
      <w:r>
        <w:t xml:space="preserve"> </w:t>
      </w:r>
      <w:r>
        <w:t xml:space="preserve">its reason.</w:t>
      </w:r>
    </w:p>
    <w:p>
      <w:pPr>
        <w:pStyle w:val="BodyText"/>
      </w:pPr>
      <w:r>
        <w:rPr>
          <w:b/>
        </w:rPr>
        <w:t xml:space="preserve">The advanced concept is proved, not asserted.</w:t>
      </w:r>
      <w:r>
        <w:t xml:space="preserve"> </w:t>
      </w:r>
      <w:r>
        <w:t xml:space="preserve">Order-independence is not demonstrated on</w:t>
      </w:r>
      <w:r>
        <w:t xml:space="preserve"> </w:t>
      </w:r>
      <w:r>
        <w:t xml:space="preserve">three hand-picked inputs — it is a property checked against a thousand generated cases,</w:t>
      </w:r>
      <w:r>
        <w:t xml:space="preserve"> </w:t>
      </w:r>
      <w:r>
        <w:t xml:space="preserve">holding because connected components and noisy-OR are commutative</w:t>
      </w:r>
      <w:r>
        <w:t xml:space="preserve"> </w:t>
      </w:r>
      <w:r>
        <w:rPr>
          <w:i/>
        </w:rPr>
        <w:t xml:space="preserve">by construction</w:t>
      </w:r>
      <w:r>
        <w:t xml:space="preserve">. The</w:t>
      </w:r>
      <w:r>
        <w:t xml:space="preserve"> </w:t>
      </w:r>
      <w:r>
        <w:t xml:space="preserve">method found a real floating-point defect that no example-based test would have chosen.</w:t>
      </w:r>
    </w:p>
    <w:p>
      <w:pPr>
        <w:pStyle w:val="BodyText"/>
      </w:pPr>
      <w:r>
        <w:rPr>
          <w:b/>
        </w:rPr>
        <w:t xml:space="preserve">The record is honest.</w:t>
      </w:r>
      <w:r>
        <w:t xml:space="preserve"> </w:t>
      </w:r>
      <w:r>
        <w:t xml:space="preserve">Twenty-three debt items written as the shortcuts were taken.</w:t>
      </w:r>
      <w:r>
        <w:t xml:space="preserve"> </w:t>
      </w:r>
      <w:r>
        <w:t xml:space="preserve">Forty-five dated decisions, none rewritten — a reversed decision is superseded by a new</w:t>
      </w:r>
      <w:r>
        <w:t xml:space="preserve"> </w:t>
      </w:r>
      <w:r>
        <w:t xml:space="preserve">entry so the reasoning at the time survives. One requirement declared Partial and one</w:t>
      </w:r>
      <w:r>
        <w:t xml:space="preserve"> </w:t>
      </w:r>
      <w:r>
        <w:t xml:space="preserve">non-functional requirement declared unmeasured, in three documents each, rather than</w:t>
      </w:r>
      <w:r>
        <w:t xml:space="preserve"> </w:t>
      </w:r>
      <w:r>
        <w:t xml:space="preserve">rounded up to a full mark.</w:t>
      </w:r>
    </w:p>
    <w:p>
      <w:pPr>
        <w:pStyle w:val="BodyText"/>
      </w:pPr>
      <w:r>
        <w:t xml:space="preserve">That last point is the one to defend. A submission claiming fifty of fifty would be a less</w:t>
      </w:r>
      <w:r>
        <w:t xml:space="preserve"> </w:t>
      </w:r>
      <w:r>
        <w:t xml:space="preserve">useful document and a less honest one, and the difference between the two is most of what</w:t>
      </w:r>
      <w:r>
        <w:t xml:space="preserve"> </w:t>
      </w:r>
      <w:r>
        <w:t xml:space="preserve">this course is about.</w:t>
      </w:r>
    </w:p>
    <w:p>
      <w:r>
        <w:pict>
          <v:rect style="width:0;height:1.5pt" o:hralign="center" o:hrstd="t" o:hr="t"/>
        </w:pict>
      </w:r>
    </w:p>
    <w:p>
      <w:pPr>
        <w:pStyle w:val="Heading2"/>
      </w:pPr>
      <w:bookmarkStart w:id="42" w:name="references"/>
      <w:r>
        <w:t xml:space="preserve">19. References</w:t>
      </w:r>
      <w:bookmarkEnd w:id="42"/>
    </w:p>
    <w:p>
      <w:pPr>
        <w:pStyle w:val="FirstParagraph"/>
      </w:pPr>
      <w:r>
        <w:rPr>
          <w:b/>
        </w:rPr>
        <w:t xml:space="preserve">Course material</w:t>
      </w:r>
    </w:p>
    <w:p>
      <w:pPr>
        <w:numPr>
          <w:ilvl w:val="0"/>
          <w:numId w:val="1006"/>
        </w:numPr>
        <w:pStyle w:val="Compact"/>
      </w:pPr>
      <w:r>
        <w:t xml:space="preserve">Mensah, S. (2026).</w:t>
      </w:r>
      <w:r>
        <w:t xml:space="preserve"> </w:t>
      </w:r>
      <w:r>
        <w:rPr>
          <w:i/>
        </w:rPr>
        <w:t xml:space="preserve">CSCD602 Advanced Software Engineering</w:t>
      </w:r>
      <w:r>
        <w:t xml:space="preserve">, University of Ghana.</w:t>
      </w:r>
      <w:r>
        <w:t xml:space="preserve"> </w:t>
      </w:r>
      <w:r>
        <w:t xml:space="preserve">Session 4: software evolution and Lehman’s laws.</w:t>
      </w:r>
    </w:p>
    <w:p>
      <w:pPr>
        <w:numPr>
          <w:ilvl w:val="0"/>
          <w:numId w:val="1006"/>
        </w:numPr>
        <w:pStyle w:val="Compact"/>
      </w:pPr>
      <w:r>
        <w:t xml:space="preserve">Lehman, M. M. (1980). Programs, life cycles, and laws of software evolution.</w:t>
      </w:r>
      <w:r>
        <w:t xml:space="preserve"> </w:t>
      </w:r>
      <w:r>
        <w:rPr>
          <w:i/>
        </w:rPr>
        <w:t xml:space="preserve">Proceedings of the IEEE</w:t>
      </w:r>
      <w:r>
        <w:t xml:space="preserve">, 68(9), 1060–1076.</w:t>
      </w:r>
    </w:p>
    <w:p>
      <w:pPr>
        <w:pStyle w:val="FirstParagraph"/>
      </w:pPr>
      <w:r>
        <w:rPr>
          <w:b/>
        </w:rPr>
        <w:t xml:space="preserve">Methods</w:t>
      </w:r>
    </w:p>
    <w:p>
      <w:pPr>
        <w:numPr>
          <w:ilvl w:val="0"/>
          <w:numId w:val="1007"/>
        </w:numPr>
        <w:pStyle w:val="Compact"/>
      </w:pPr>
      <w:r>
        <w:t xml:space="preserve">Karner, G. (1993).</w:t>
      </w:r>
      <w:r>
        <w:t xml:space="preserve"> </w:t>
      </w:r>
      <w:r>
        <w:rPr>
          <w:i/>
        </w:rPr>
        <w:t xml:space="preserve">Resource Estimation for Objectory Projects.</w:t>
      </w:r>
      <w:r>
        <w:t xml:space="preserve"> </w:t>
      </w:r>
      <w:r>
        <w:t xml:space="preserve">Objective Systems.</w:t>
      </w:r>
      <w:r>
        <w:t xml:space="preserve"> </w:t>
      </w:r>
      <w:r>
        <w:t xml:space="preserve">(Use Case Points —</w:t>
      </w:r>
      <w:r>
        <w:t xml:space="preserve"> </w:t>
      </w:r>
      <w:r>
        <w:rPr>
          <w:rStyle w:val="VerbatimChar"/>
        </w:rPr>
        <w:t xml:space="preserve">06-effort-estimation.md</w:t>
      </w:r>
      <w:r>
        <w:t xml:space="preserve">.)</w:t>
      </w:r>
    </w:p>
    <w:p>
      <w:pPr>
        <w:numPr>
          <w:ilvl w:val="0"/>
          <w:numId w:val="1007"/>
        </w:numPr>
        <w:pStyle w:val="Compact"/>
      </w:pPr>
      <w:r>
        <w:t xml:space="preserve">Cunningham, W. (1992). The WyCash portfolio management system.</w:t>
      </w:r>
      <w:r>
        <w:t xml:space="preserve"> </w:t>
      </w:r>
      <w:r>
        <w:rPr>
          <w:i/>
        </w:rPr>
        <w:t xml:space="preserve">OOPSLA ’92</w:t>
      </w:r>
      <w:r>
        <w:t xml:space="preserve">.</w:t>
      </w:r>
      <w:r>
        <w:t xml:space="preserve"> </w:t>
      </w:r>
      <w:r>
        <w:t xml:space="preserve">(The technical debt metaphor.)</w:t>
      </w:r>
    </w:p>
    <w:p>
      <w:pPr>
        <w:numPr>
          <w:ilvl w:val="0"/>
          <w:numId w:val="1007"/>
        </w:numPr>
        <w:pStyle w:val="Compact"/>
      </w:pPr>
      <w:r>
        <w:t xml:space="preserve">Kruchten, P., Nord, R., Ozkaya, I. (2012). Technical debt: from metaphor to theory and</w:t>
      </w:r>
      <w:r>
        <w:t xml:space="preserve"> </w:t>
      </w:r>
      <w:r>
        <w:t xml:space="preserve">practice.</w:t>
      </w:r>
      <w:r>
        <w:t xml:space="preserve"> </w:t>
      </w:r>
      <w:r>
        <w:rPr>
          <w:i/>
        </w:rPr>
        <w:t xml:space="preserve">IEEE Software</w:t>
      </w:r>
      <w:r>
        <w:t xml:space="preserve">, 29(6). (The classification used in</w:t>
      </w:r>
      <w:r>
        <w:t xml:space="preserve"> </w:t>
      </w:r>
      <w:r>
        <w:rPr>
          <w:rStyle w:val="VerbatimChar"/>
        </w:rPr>
        <w:t xml:space="preserve">08-technical-debt.md</w:t>
      </w:r>
      <w:r>
        <w:t xml:space="preserve">.)</w:t>
      </w:r>
    </w:p>
    <w:p>
      <w:pPr>
        <w:numPr>
          <w:ilvl w:val="0"/>
          <w:numId w:val="1007"/>
        </w:numPr>
        <w:pStyle w:val="Compact"/>
      </w:pPr>
      <w:r>
        <w:t xml:space="preserve">Fowler, M. (2011).</w:t>
      </w:r>
      <w:r>
        <w:t xml:space="preserve"> </w:t>
      </w:r>
      <w:r>
        <w:rPr>
          <w:i/>
        </w:rPr>
        <w:t xml:space="preserve">CircuitBreaker</w:t>
      </w:r>
      <w:r>
        <w:t xml:space="preserve">. martinfowler.com. (</w:t>
      </w:r>
      <w:r>
        <w:rPr>
          <w:rStyle w:val="VerbatimChar"/>
        </w:rPr>
        <w:t xml:space="preserve">circuit_breaker.py</w:t>
      </w:r>
      <w:r>
        <w:t xml:space="preserve">.)</w:t>
      </w:r>
    </w:p>
    <w:p>
      <w:pPr>
        <w:numPr>
          <w:ilvl w:val="0"/>
          <w:numId w:val="1007"/>
        </w:numPr>
        <w:pStyle w:val="Compact"/>
      </w:pPr>
      <w:r>
        <w:t xml:space="preserve">Richardson, C.</w:t>
      </w:r>
      <w:r>
        <w:t xml:space="preserve"> </w:t>
      </w:r>
      <w:r>
        <w:rPr>
          <w:i/>
        </w:rPr>
        <w:t xml:space="preserve">Pattern: Transactional outbox.</w:t>
      </w:r>
      <w:r>
        <w:t xml:space="preserve"> </w:t>
      </w:r>
      <w:r>
        <w:t xml:space="preserve">microservices.io. (The core pattern.)</w:t>
      </w:r>
    </w:p>
    <w:p>
      <w:pPr>
        <w:numPr>
          <w:ilvl w:val="0"/>
          <w:numId w:val="1007"/>
        </w:numPr>
        <w:pStyle w:val="Compact"/>
      </w:pPr>
      <w:r>
        <w:t xml:space="preserve">Claessen, K., Hughes, J. (2000). QuickCheck: a lightweight tool for random testing of</w:t>
      </w:r>
      <w:r>
        <w:t xml:space="preserve"> </w:t>
      </w:r>
      <w:r>
        <w:t xml:space="preserve">Haskell programs.</w:t>
      </w:r>
      <w:r>
        <w:t xml:space="preserve"> </w:t>
      </w:r>
      <w:r>
        <w:rPr>
          <w:i/>
        </w:rPr>
        <w:t xml:space="preserve">ICFP ’00</w:t>
      </w:r>
      <w:r>
        <w:t xml:space="preserve">. (The property-based testing method Hypothesis implements.)</w:t>
      </w:r>
    </w:p>
    <w:p>
      <w:pPr>
        <w:numPr>
          <w:ilvl w:val="0"/>
          <w:numId w:val="1007"/>
        </w:numPr>
        <w:pStyle w:val="Compact"/>
      </w:pPr>
      <w:r>
        <w:t xml:space="preserve">MacIver, D. R. et al. </w:t>
      </w:r>
      <w:r>
        <w:rPr>
          <w:i/>
        </w:rPr>
        <w:t xml:space="preserve">Hypothesis: property-based testing for Python.</w:t>
      </w:r>
    </w:p>
    <w:p>
      <w:pPr>
        <w:pStyle w:val="FirstParagraph"/>
      </w:pPr>
      <w:r>
        <w:rPr>
          <w:b/>
        </w:rPr>
        <w:t xml:space="preserve">Third-party components</w:t>
      </w:r>
      <w:r>
        <w:t xml:space="preserve"> </w:t>
      </w:r>
      <w:r>
        <w:rPr>
          <w:i/>
        </w:rPr>
        <w:t xml:space="preserve">(acknowledged under Rule 6 of the examination paper)</w:t>
      </w:r>
    </w:p>
    <w:tbl>
      <w:tblPr>
        <w:tblStyle w:val="TableGrid"/>
        <w:tblW w:type="dxa" w:w="9029"/>
        <w:tblLayout w:type="fixed"/>
        <w:tblLook w:firstRow="1"/>
      </w:tblPr>
      <w:tblGrid>
        <w:gridCol w:w="3373"/>
        <w:gridCol w:w="1587"/>
        <w:gridCol w:w="4069"/>
      </w:tblGrid>
      <w:tr>
        <w:trPr>
          <w:cnfStyle w:firstRow="1"/>
        </w:trPr>
        <w:tc>
          <w:tcPr>
            <w:tcW w:type="dxa" w:w="3373"/>
            <w:tcBorders>
              <w:bottom w:val="single"/>
            </w:tcBorders>
            <w:vAlign w:val="bottom"/>
          </w:tcPr>
          <w:p>
            <w:pPr>
              <w:pStyle w:val="Compact"/>
              <w:jc w:val="left"/>
            </w:pPr>
            <w:r>
              <w:t xml:space="preserve">Component</w:t>
            </w:r>
          </w:p>
        </w:tc>
        <w:tc>
          <w:tcPr>
            <w:tcW w:type="dxa" w:w="1587"/>
            <w:tcBorders>
              <w:bottom w:val="single"/>
            </w:tcBorders>
            <w:vAlign w:val="bottom"/>
          </w:tcPr>
          <w:p>
            <w:pPr>
              <w:pStyle w:val="Compact"/>
              <w:jc w:val="left"/>
            </w:pPr>
            <w:r>
              <w:t xml:space="preserve">Licence</w:t>
            </w:r>
          </w:p>
        </w:tc>
        <w:tc>
          <w:tcPr>
            <w:tcW w:type="dxa" w:w="4069"/>
            <w:tcBorders>
              <w:bottom w:val="single"/>
            </w:tcBorders>
            <w:vAlign w:val="bottom"/>
          </w:tcPr>
          <w:p>
            <w:pPr>
              <w:pStyle w:val="Compact"/>
              <w:jc w:val="left"/>
            </w:pPr>
            <w:r>
              <w:t xml:space="preserve">Use</w:t>
            </w:r>
          </w:p>
        </w:tc>
      </w:tr>
      <w:tr>
        <w:tc>
          <w:tcPr>
            <w:tcW w:type="dxa" w:w="3373"/>
          </w:tcPr>
          <w:p>
            <w:pPr>
              <w:pStyle w:val="Compact"/>
              <w:jc w:val="left"/>
            </w:pPr>
            <w:r>
              <w:t xml:space="preserve">FastAPI, Starlette, Pydantic</w:t>
            </w:r>
          </w:p>
        </w:tc>
        <w:tc>
          <w:tcPr>
            <w:tcW w:type="dxa" w:w="1587"/>
          </w:tcPr>
          <w:p>
            <w:pPr>
              <w:pStyle w:val="Compact"/>
              <w:jc w:val="left"/>
            </w:pPr>
            <w:r>
              <w:t xml:space="preserve">MIT</w:t>
            </w:r>
          </w:p>
        </w:tc>
        <w:tc>
          <w:tcPr>
            <w:tcW w:type="dxa" w:w="4069"/>
          </w:tcPr>
          <w:p>
            <w:pPr>
              <w:pStyle w:val="Compact"/>
              <w:jc w:val="left"/>
            </w:pPr>
            <w:r>
              <w:t xml:space="preserve">API framework, validation</w:t>
            </w:r>
          </w:p>
        </w:tc>
      </w:tr>
      <w:tr>
        <w:tc>
          <w:tcPr>
            <w:tcW w:type="dxa" w:w="3373"/>
          </w:tcPr>
          <w:p>
            <w:pPr>
              <w:pStyle w:val="Compact"/>
              <w:jc w:val="left"/>
            </w:pPr>
            <w:r>
              <w:t xml:space="preserve">SQLAlchemy, Alembic</w:t>
            </w:r>
          </w:p>
        </w:tc>
        <w:tc>
          <w:tcPr>
            <w:tcW w:type="dxa" w:w="1587"/>
          </w:tcPr>
          <w:p>
            <w:pPr>
              <w:pStyle w:val="Compact"/>
              <w:jc w:val="left"/>
            </w:pPr>
            <w:r>
              <w:t xml:space="preserve">MIT</w:t>
            </w:r>
          </w:p>
        </w:tc>
        <w:tc>
          <w:tcPr>
            <w:tcW w:type="dxa" w:w="4069"/>
          </w:tcPr>
          <w:p>
            <w:pPr>
              <w:pStyle w:val="Compact"/>
              <w:jc w:val="left"/>
            </w:pPr>
            <w:r>
              <w:t xml:space="preserve">ORM and migrations</w:t>
            </w:r>
          </w:p>
        </w:tc>
      </w:tr>
      <w:tr>
        <w:tc>
          <w:tcPr>
            <w:tcW w:type="dxa" w:w="3373"/>
          </w:tcPr>
          <w:p>
            <w:pPr>
              <w:pStyle w:val="Compact"/>
              <w:jc w:val="left"/>
            </w:pPr>
            <w:r>
              <w:t xml:space="preserve">GeoAlchemy2, Shapely</w:t>
            </w:r>
          </w:p>
        </w:tc>
        <w:tc>
          <w:tcPr>
            <w:tcW w:type="dxa" w:w="1587"/>
          </w:tcPr>
          <w:p>
            <w:pPr>
              <w:pStyle w:val="Compact"/>
              <w:jc w:val="left"/>
            </w:pPr>
            <w:r>
              <w:t xml:space="preserve">MIT / BSD</w:t>
            </w:r>
          </w:p>
        </w:tc>
        <w:tc>
          <w:tcPr>
            <w:tcW w:type="dxa" w:w="4069"/>
          </w:tcPr>
          <w:p>
            <w:pPr>
              <w:pStyle w:val="Compact"/>
              <w:jc w:val="left"/>
            </w:pPr>
            <w:r>
              <w:t xml:space="preserve">Spatial types</w:t>
            </w:r>
          </w:p>
        </w:tc>
      </w:tr>
      <w:tr>
        <w:tc>
          <w:tcPr>
            <w:tcW w:type="dxa" w:w="3373"/>
          </w:tcPr>
          <w:p>
            <w:pPr>
              <w:pStyle w:val="Compact"/>
              <w:jc w:val="left"/>
            </w:pPr>
            <w:r>
              <w:t xml:space="preserve">asyncpg</w:t>
            </w:r>
          </w:p>
        </w:tc>
        <w:tc>
          <w:tcPr>
            <w:tcW w:type="dxa" w:w="1587"/>
          </w:tcPr>
          <w:p>
            <w:pPr>
              <w:pStyle w:val="Compact"/>
              <w:jc w:val="left"/>
            </w:pPr>
            <w:r>
              <w:t xml:space="preserve">Apache 2.0</w:t>
            </w:r>
          </w:p>
        </w:tc>
        <w:tc>
          <w:tcPr>
            <w:tcW w:type="dxa" w:w="4069"/>
          </w:tcPr>
          <w:p>
            <w:pPr>
              <w:pStyle w:val="Compact"/>
              <w:jc w:val="left"/>
            </w:pPr>
            <w:r>
              <w:t xml:space="preserve">PostgreSQL driver</w:t>
            </w:r>
          </w:p>
        </w:tc>
      </w:tr>
      <w:tr>
        <w:tc>
          <w:tcPr>
            <w:tcW w:type="dxa" w:w="3373"/>
          </w:tcPr>
          <w:p>
            <w:pPr>
              <w:pStyle w:val="Compact"/>
              <w:jc w:val="left"/>
            </w:pPr>
            <w:r>
              <w:t xml:space="preserve">PostGIS</w:t>
            </w:r>
          </w:p>
        </w:tc>
        <w:tc>
          <w:tcPr>
            <w:tcW w:type="dxa" w:w="1587"/>
          </w:tcPr>
          <w:p>
            <w:pPr>
              <w:pStyle w:val="Compact"/>
              <w:jc w:val="left"/>
            </w:pPr>
            <w:r>
              <w:t xml:space="preserve">GPL-2.0</w:t>
            </w:r>
          </w:p>
        </w:tc>
        <w:tc>
          <w:tcPr>
            <w:tcW w:type="dxa" w:w="4069"/>
          </w:tcPr>
          <w:p>
            <w:pPr>
              <w:pStyle w:val="Compact"/>
              <w:jc w:val="left"/>
            </w:pPr>
            <w:r>
              <w:t xml:space="preserve">Spatial database extension</w:t>
            </w:r>
          </w:p>
        </w:tc>
      </w:tr>
      <w:tr>
        <w:tc>
          <w:tcPr>
            <w:tcW w:type="dxa" w:w="3373"/>
          </w:tcPr>
          <w:p>
            <w:pPr>
              <w:pStyle w:val="Compact"/>
              <w:jc w:val="left"/>
            </w:pPr>
            <w:r>
              <w:t xml:space="preserve">bcrypt, PyJWT</w:t>
            </w:r>
          </w:p>
        </w:tc>
        <w:tc>
          <w:tcPr>
            <w:tcW w:type="dxa" w:w="1587"/>
          </w:tcPr>
          <w:p>
            <w:pPr>
              <w:pStyle w:val="Compact"/>
              <w:jc w:val="left"/>
            </w:pPr>
            <w:r>
              <w:t xml:space="preserve">Apache 2.0 / MIT</w:t>
            </w:r>
          </w:p>
        </w:tc>
        <w:tc>
          <w:tcPr>
            <w:tcW w:type="dxa" w:w="4069"/>
          </w:tcPr>
          <w:p>
            <w:pPr>
              <w:pStyle w:val="Compact"/>
              <w:jc w:val="left"/>
            </w:pPr>
            <w:r>
              <w:t xml:space="preserve">Password hashing, tokens</w:t>
            </w:r>
          </w:p>
        </w:tc>
      </w:tr>
      <w:tr>
        <w:tc>
          <w:tcPr>
            <w:tcW w:type="dxa" w:w="3373"/>
          </w:tcPr>
          <w:p>
            <w:pPr>
              <w:pStyle w:val="Compact"/>
              <w:jc w:val="left"/>
            </w:pPr>
            <w:r>
              <w:t xml:space="preserve">pytest, pytest-asyncio, Hypothesis</w:t>
            </w:r>
          </w:p>
        </w:tc>
        <w:tc>
          <w:tcPr>
            <w:tcW w:type="dxa" w:w="1587"/>
          </w:tcPr>
          <w:p>
            <w:pPr>
              <w:pStyle w:val="Compact"/>
              <w:jc w:val="left"/>
            </w:pPr>
            <w:r>
              <w:t xml:space="preserve">MIT / MPL-2.0</w:t>
            </w:r>
          </w:p>
        </w:tc>
        <w:tc>
          <w:tcPr>
            <w:tcW w:type="dxa" w:w="4069"/>
          </w:tcPr>
          <w:p>
            <w:pPr>
              <w:pStyle w:val="Compact"/>
              <w:jc w:val="left"/>
            </w:pPr>
            <w:r>
              <w:t xml:space="preserve">Testing</w:t>
            </w:r>
          </w:p>
        </w:tc>
      </w:tr>
      <w:tr>
        <w:tc>
          <w:tcPr>
            <w:tcW w:type="dxa" w:w="3373"/>
          </w:tcPr>
          <w:p>
            <w:pPr>
              <w:pStyle w:val="Compact"/>
              <w:jc w:val="left"/>
            </w:pPr>
            <w:r>
              <w:t xml:space="preserve">MapLibre GL JS</w:t>
            </w:r>
          </w:p>
        </w:tc>
        <w:tc>
          <w:tcPr>
            <w:tcW w:type="dxa" w:w="1587"/>
          </w:tcPr>
          <w:p>
            <w:pPr>
              <w:pStyle w:val="Compact"/>
              <w:jc w:val="left"/>
            </w:pPr>
            <w:r>
              <w:t xml:space="preserve">BSD-3-Clause</w:t>
            </w:r>
          </w:p>
        </w:tc>
        <w:tc>
          <w:tcPr>
            <w:tcW w:type="dxa" w:w="4069"/>
          </w:tcPr>
          <w:p>
            <w:pPr>
              <w:pStyle w:val="Compact"/>
              <w:jc w:val="left"/>
            </w:pPr>
            <w:r>
              <w:t xml:space="preserve">Map rendering</w:t>
            </w:r>
          </w:p>
        </w:tc>
      </w:tr>
      <w:tr>
        <w:tc>
          <w:tcPr>
            <w:tcW w:type="dxa" w:w="3373"/>
          </w:tcPr>
          <w:p>
            <w:pPr>
              <w:pStyle w:val="Compact"/>
              <w:jc w:val="left"/>
            </w:pPr>
            <w:r>
              <w:t xml:space="preserve">OpenStreetMap tiles</w:t>
            </w:r>
          </w:p>
        </w:tc>
        <w:tc>
          <w:tcPr>
            <w:tcW w:type="dxa" w:w="1587"/>
          </w:tcPr>
          <w:p>
            <w:pPr>
              <w:pStyle w:val="Compact"/>
              <w:jc w:val="left"/>
            </w:pPr>
            <w:r>
              <w:t xml:space="preserve">ODbL</w:t>
            </w:r>
          </w:p>
        </w:tc>
        <w:tc>
          <w:tcPr>
            <w:tcW w:type="dxa" w:w="4069"/>
          </w:tcPr>
          <w:p>
            <w:pPr>
              <w:pStyle w:val="Compact"/>
              <w:jc w:val="left"/>
            </w:pPr>
            <w:r>
              <w:t xml:space="preserve">Map imagery — attributed in the interface</w:t>
            </w:r>
          </w:p>
        </w:tc>
      </w:tr>
      <w:tr>
        <w:tc>
          <w:tcPr>
            <w:tcW w:type="dxa" w:w="3373"/>
          </w:tcPr>
          <w:p>
            <w:pPr>
              <w:pStyle w:val="Compact"/>
              <w:jc w:val="left"/>
            </w:pPr>
            <w:r>
              <w:t xml:space="preserve">Mermaid</w:t>
            </w:r>
          </w:p>
        </w:tc>
        <w:tc>
          <w:tcPr>
            <w:tcW w:type="dxa" w:w="1587"/>
          </w:tcPr>
          <w:p>
            <w:pPr>
              <w:pStyle w:val="Compact"/>
              <w:jc w:val="left"/>
            </w:pPr>
            <w:r>
              <w:t xml:space="preserve">MIT</w:t>
            </w:r>
          </w:p>
        </w:tc>
        <w:tc>
          <w:tcPr>
            <w:tcW w:type="dxa" w:w="4069"/>
          </w:tcPr>
          <w:p>
            <w:pPr>
              <w:pStyle w:val="Compact"/>
              <w:jc w:val="left"/>
            </w:pPr>
            <w:r>
              <w:t xml:space="preserve">Diagrams in</w:t>
            </w:r>
            <w:r>
              <w:t xml:space="preserve"> </w:t>
            </w:r>
            <w:r>
              <w:rPr>
                <w:rStyle w:val="VerbatimChar"/>
              </w:rPr>
              <w:t xml:space="preserve">09-system-design.md</w:t>
            </w:r>
          </w:p>
        </w:tc>
      </w:tr>
    </w:tbl>
    <w:p>
      <w:pPr>
        <w:pStyle w:val="BodyText"/>
      </w:pPr>
      <w:r>
        <w:t xml:space="preserve">No third-party code was copied into this project. All application code is original.</w:t>
      </w:r>
    </w:p>
    <w:p>
      <w:pPr>
        <w:pStyle w:val="BodyText"/>
      </w:pPr>
      <w:r>
        <w:rPr>
          <w:b/>
        </w:rPr>
        <w:t xml:space="preserve">Project documents</w:t>
      </w:r>
    </w:p>
    <w:p>
      <w:pPr>
        <w:pStyle w:val="BodyText"/>
      </w:pPr>
      <w:r>
        <w:rPr>
          <w:rStyle w:val="VerbatimChar"/>
        </w:rPr>
        <w:t xml:space="preserve">00-original-brief.txt</w:t>
      </w:r>
      <w:r>
        <w:t xml:space="preserve"> </w:t>
      </w:r>
      <w:r>
        <w:t xml:space="preserve">·</w:t>
      </w:r>
      <w:r>
        <w:t xml:space="preserve"> </w:t>
      </w:r>
      <w:r>
        <w:rPr>
          <w:rStyle w:val="VerbatimChar"/>
        </w:rPr>
        <w:t xml:space="preserve">01-exam-requirements.md</w:t>
      </w:r>
      <w:r>
        <w:t xml:space="preserve"> </w:t>
      </w:r>
      <w:r>
        <w:t xml:space="preserve">·</w:t>
      </w:r>
      <w:r>
        <w:t xml:space="preserve"> </w:t>
      </w:r>
      <w:r>
        <w:rPr>
          <w:rStyle w:val="VerbatimChar"/>
        </w:rPr>
        <w:t xml:space="preserve">02-problem-and-scope.md</w:t>
      </w:r>
      <w:r>
        <w:t xml:space="preserve"> </w:t>
      </w:r>
      <w:r>
        <w:t xml:space="preserve">·</w:t>
      </w:r>
      <w:r>
        <w:t xml:space="preserve"> </w:t>
      </w:r>
      <w:r>
        <w:rPr>
          <w:rStyle w:val="VerbatimChar"/>
        </w:rPr>
        <w:t xml:space="preserve">03-glossary.md</w:t>
      </w:r>
      <w:r>
        <w:t xml:space="preserve"> </w:t>
      </w:r>
      <w:r>
        <w:t xml:space="preserve">·</w:t>
      </w:r>
      <w:r>
        <w:t xml:space="preserve"> </w:t>
      </w:r>
      <w:r>
        <w:rPr>
          <w:rStyle w:val="VerbatimChar"/>
        </w:rPr>
        <w:t xml:space="preserve">04-advanced-concept.md</w:t>
      </w:r>
      <w:r>
        <w:t xml:space="preserve"> </w:t>
      </w:r>
      <w:r>
        <w:t xml:space="preserve">·</w:t>
      </w:r>
      <w:r>
        <w:t xml:space="preserve"> </w:t>
      </w:r>
      <w:r>
        <w:rPr>
          <w:rStyle w:val="VerbatimChar"/>
        </w:rPr>
        <w:t xml:space="preserve">05-decision-log.md</w:t>
      </w:r>
      <w:r>
        <w:t xml:space="preserve"> </w:t>
      </w:r>
      <w:r>
        <w:t xml:space="preserve">·</w:t>
      </w:r>
      <w:r>
        <w:t xml:space="preserve"> </w:t>
      </w:r>
      <w:r>
        <w:rPr>
          <w:rStyle w:val="VerbatimChar"/>
        </w:rPr>
        <w:t xml:space="preserve">06-effort-estimation.md</w:t>
      </w:r>
      <w:r>
        <w:t xml:space="preserve"> </w:t>
      </w:r>
      <w:r>
        <w:t xml:space="preserve">·</w:t>
      </w:r>
      <w:r>
        <w:t xml:space="preserve"> </w:t>
      </w:r>
      <w:r>
        <w:rPr>
          <w:rStyle w:val="VerbatimChar"/>
        </w:rPr>
        <w:t xml:space="preserve">07-build-schedule.md</w:t>
      </w:r>
      <w:r>
        <w:t xml:space="preserve"> </w:t>
      </w:r>
      <w:r>
        <w:t xml:space="preserve">·</w:t>
      </w:r>
      <w:r>
        <w:t xml:space="preserve"> </w:t>
      </w:r>
      <w:r>
        <w:rPr>
          <w:rStyle w:val="VerbatimChar"/>
        </w:rPr>
        <w:t xml:space="preserve">08-technical-debt.md</w:t>
      </w:r>
      <w:r>
        <w:t xml:space="preserve"> </w:t>
      </w:r>
      <w:r>
        <w:t xml:space="preserve">·</w:t>
      </w:r>
      <w:r>
        <w:t xml:space="preserve"> </w:t>
      </w:r>
      <w:r>
        <w:rPr>
          <w:rStyle w:val="VerbatimChar"/>
        </w:rPr>
        <w:t xml:space="preserve">09-system-design.md</w:t>
      </w:r>
      <w:r>
        <w:t xml:space="preserve"> </w:t>
      </w:r>
      <w:r>
        <w:t xml:space="preserve">·</w:t>
      </w:r>
      <w:r>
        <w:t xml:space="preserve"> </w:t>
      </w:r>
      <w:r>
        <w:rPr>
          <w:rStyle w:val="VerbatimChar"/>
        </w:rPr>
        <w:t xml:space="preserve">10-srs.md</w:t>
      </w:r>
      <w:r>
        <w:t xml:space="preserve"> </w:t>
      </w:r>
      <w:r>
        <w:t xml:space="preserve">·</w:t>
      </w:r>
      <w:r>
        <w:t xml:space="preserve"> </w:t>
      </w:r>
      <w:r>
        <w:rPr>
          <w:rStyle w:val="VerbatimChar"/>
        </w:rPr>
        <w:t xml:space="preserve">11-testing-report.md</w:t>
      </w:r>
      <w:r>
        <w:t xml:space="preserve"> </w:t>
      </w:r>
      <w:r>
        <w:t xml:space="preserve">·</w:t>
      </w:r>
      <w:r>
        <w:t xml:space="preserve"> </w:t>
      </w:r>
      <w:r>
        <w:rPr>
          <w:rStyle w:val="VerbatimChar"/>
        </w:rPr>
        <w:t xml:space="preserve">12-maintenance-and-evolution.md</w:t>
      </w:r>
      <w:r>
        <w:t xml:space="preserve"> </w:t>
      </w:r>
      <w:r>
        <w:t xml:space="preserve">·</w:t>
      </w:r>
      <w:r>
        <w:t xml:space="preserve"> </w:t>
      </w:r>
      <w:r>
        <w:rPr>
          <w:rStyle w:val="VerbatimChar"/>
        </w:rPr>
        <w:t xml:space="preserve">13-user-manual.md</w:t>
      </w:r>
      <w:r>
        <w:t xml:space="preserve"> </w:t>
      </w:r>
      <w:r>
        <w:t xml:space="preserve">·</w:t>
      </w:r>
      <w:r>
        <w:t xml:space="preserve"> </w:t>
      </w:r>
      <w:r>
        <w:rPr>
          <w:rStyle w:val="VerbatimChar"/>
        </w:rPr>
        <w:t xml:space="preserve">design/ui-designs.html</w:t>
      </w:r>
      <w:r>
        <w:t xml:space="preserve"> </w:t>
      </w:r>
      <w:r>
        <w:t xml:space="preserve">·</w:t>
      </w:r>
      <w:r>
        <w:t xml:space="preserve"> </w:t>
      </w:r>
      <w:r>
        <w:rPr>
          <w:rStyle w:val="VerbatimChar"/>
        </w:rPr>
        <w:t xml:space="preserve">explainers/01</w:t>
      </w:r>
      <w:r>
        <w:t xml:space="preserve">–</w:t>
      </w:r>
      <w:r>
        <w:rPr>
          <w:rStyle w:val="VerbatimChar"/>
        </w:rPr>
        <w:t xml:space="preserve">09</w:t>
      </w:r>
      <w:r>
        <w:t xml:space="preserve"> </w:t>
      </w:r>
      <w:r>
        <w:t xml:space="preserve">·</w:t>
      </w:r>
      <w:r>
        <w:t xml:space="preserve"> </w:t>
      </w:r>
      <w:r>
        <w:rPr>
          <w:rStyle w:val="VerbatimChar"/>
        </w:rPr>
        <w:t xml:space="preserve">HANDOFF.md</w:t>
      </w:r>
      <w:r>
        <w:t xml:space="preserve"> </w:t>
      </w:r>
      <w:r>
        <w:t xml:space="preserve">·</w:t>
      </w:r>
      <w:r>
        <w:t xml:space="preserve"> </w:t>
      </w:r>
      <w:r>
        <w:rPr>
          <w:rStyle w:val="VerbatimChar"/>
        </w:rPr>
        <w:t xml:space="preserve">RUNBOOK.md</w:t>
      </w:r>
    </w:p>
    <w:p>
      <w:pPr>
        <w:pStyle w:val="Heading1"/>
      </w:pPr>
      <w:bookmarkStart w:id="43" w:name="list-of-abbreviations"/>
      <w:r>
        <w:t xml:space="preserve">List of Abbreviations</w:t>
      </w:r>
      <w:bookmarkEnd w:id="43"/>
    </w:p>
    <w:tbl>
      <w:tblPr>
        <w:tblStyle w:val="TableGrid"/>
        <w:tblW w:type="dxa" w:w="9029"/>
        <w:tblLayout w:type="fixed"/>
        <w:tblLook w:firstRow="1"/>
      </w:tblPr>
      <w:tblGrid>
        <w:gridCol w:w="1321"/>
        <w:gridCol w:w="7708"/>
      </w:tblGrid>
      <w:tr>
        <w:trPr>
          <w:cnfStyle w:firstRow="1"/>
        </w:trPr>
        <w:tc>
          <w:tcPr>
            <w:tcW w:type="dxa" w:w="1321"/>
            <w:tcBorders>
              <w:bottom w:val="single"/>
            </w:tcBorders>
            <w:vAlign w:val="bottom"/>
          </w:tcPr>
          <w:p>
            <w:pPr>
              <w:pStyle w:val="Compact"/>
              <w:jc w:val="left"/>
            </w:pPr>
            <w:r>
              <w:t xml:space="preserve">Abbreviation</w:t>
            </w:r>
          </w:p>
        </w:tc>
        <w:tc>
          <w:tcPr>
            <w:tcW w:type="dxa" w:w="7708"/>
            <w:tcBorders>
              <w:bottom w:val="single"/>
            </w:tcBorders>
            <w:vAlign w:val="bottom"/>
          </w:tcPr>
          <w:p>
            <w:pPr>
              <w:pStyle w:val="Compact"/>
              <w:jc w:val="left"/>
            </w:pPr>
            <w:r>
              <w:t xml:space="preserve">Meaning</w:t>
            </w:r>
          </w:p>
        </w:tc>
      </w:tr>
      <w:tr>
        <w:tc>
          <w:tcPr>
            <w:tcW w:type="dxa" w:w="1321"/>
          </w:tcPr>
          <w:p>
            <w:pPr>
              <w:pStyle w:val="Compact"/>
              <w:jc w:val="left"/>
            </w:pPr>
            <w:r>
              <w:t xml:space="preserve">API</w:t>
            </w:r>
          </w:p>
        </w:tc>
        <w:tc>
          <w:tcPr>
            <w:tcW w:type="dxa" w:w="7708"/>
          </w:tcPr>
          <w:p>
            <w:pPr>
              <w:pStyle w:val="Compact"/>
              <w:jc w:val="left"/>
            </w:pPr>
            <w:r>
              <w:t xml:space="preserve">Application Programming Interface</w:t>
            </w:r>
          </w:p>
        </w:tc>
      </w:tr>
      <w:tr>
        <w:tc>
          <w:tcPr>
            <w:tcW w:type="dxa" w:w="1321"/>
          </w:tcPr>
          <w:p>
            <w:pPr>
              <w:pStyle w:val="Compact"/>
              <w:jc w:val="left"/>
            </w:pPr>
            <w:r>
              <w:t xml:space="preserve">CI</w:t>
            </w:r>
          </w:p>
        </w:tc>
        <w:tc>
          <w:tcPr>
            <w:tcW w:type="dxa" w:w="7708"/>
          </w:tcPr>
          <w:p>
            <w:pPr>
              <w:pStyle w:val="Compact"/>
              <w:jc w:val="left"/>
            </w:pPr>
            <w:r>
              <w:t xml:space="preserve">Continuous Integration</w:t>
            </w:r>
          </w:p>
        </w:tc>
      </w:tr>
      <w:tr>
        <w:tc>
          <w:tcPr>
            <w:tcW w:type="dxa" w:w="1321"/>
          </w:tcPr>
          <w:p>
            <w:pPr>
              <w:pStyle w:val="Compact"/>
              <w:jc w:val="left"/>
            </w:pPr>
            <w:r>
              <w:t xml:space="preserve">ERD</w:t>
            </w:r>
          </w:p>
        </w:tc>
        <w:tc>
          <w:tcPr>
            <w:tcW w:type="dxa" w:w="7708"/>
          </w:tcPr>
          <w:p>
            <w:pPr>
              <w:pStyle w:val="Compact"/>
              <w:jc w:val="left"/>
            </w:pPr>
            <w:r>
              <w:t xml:space="preserve">Entity Relationship Diagram</w:t>
            </w:r>
          </w:p>
        </w:tc>
      </w:tr>
      <w:tr>
        <w:tc>
          <w:tcPr>
            <w:tcW w:type="dxa" w:w="1321"/>
          </w:tcPr>
          <w:p>
            <w:pPr>
              <w:pStyle w:val="Compact"/>
              <w:jc w:val="left"/>
            </w:pPr>
            <w:r>
              <w:t xml:space="preserve">FK</w:t>
            </w:r>
          </w:p>
        </w:tc>
        <w:tc>
          <w:tcPr>
            <w:tcW w:type="dxa" w:w="7708"/>
          </w:tcPr>
          <w:p>
            <w:pPr>
              <w:pStyle w:val="Compact"/>
              <w:jc w:val="left"/>
            </w:pPr>
            <w:r>
              <w:t xml:space="preserve">Foreign key — a column holding another table’s primary key, linking the two</w:t>
            </w:r>
          </w:p>
        </w:tc>
      </w:tr>
      <w:tr>
        <w:tc>
          <w:tcPr>
            <w:tcW w:type="dxa" w:w="1321"/>
          </w:tcPr>
          <w:p>
            <w:pPr>
              <w:pStyle w:val="Compact"/>
              <w:jc w:val="left"/>
            </w:pPr>
            <w:r>
              <w:t xml:space="preserve">FR</w:t>
            </w:r>
          </w:p>
        </w:tc>
        <w:tc>
          <w:tcPr>
            <w:tcW w:type="dxa" w:w="7708"/>
          </w:tcPr>
          <w:p>
            <w:pPr>
              <w:pStyle w:val="Compact"/>
              <w:jc w:val="left"/>
            </w:pPr>
            <w:r>
              <w:t xml:space="preserve">Functional Requirement</w:t>
            </w:r>
          </w:p>
        </w:tc>
      </w:tr>
      <w:tr>
        <w:tc>
          <w:tcPr>
            <w:tcW w:type="dxa" w:w="1321"/>
          </w:tcPr>
          <w:p>
            <w:pPr>
              <w:pStyle w:val="Compact"/>
              <w:jc w:val="left"/>
            </w:pPr>
            <w:r>
              <w:t xml:space="preserve">GiST</w:t>
            </w:r>
          </w:p>
        </w:tc>
        <w:tc>
          <w:tcPr>
            <w:tcW w:type="dxa" w:w="7708"/>
          </w:tcPr>
          <w:p>
            <w:pPr>
              <w:pStyle w:val="Compact"/>
              <w:jc w:val="left"/>
            </w:pPr>
            <w:r>
              <w:t xml:space="preserve">Generalised Search Tree — the spatial index used by PostGIS</w:t>
            </w:r>
          </w:p>
        </w:tc>
      </w:tr>
      <w:tr>
        <w:tc>
          <w:tcPr>
            <w:tcW w:type="dxa" w:w="1321"/>
          </w:tcPr>
          <w:p>
            <w:pPr>
              <w:pStyle w:val="Compact"/>
              <w:jc w:val="left"/>
            </w:pPr>
            <w:r>
              <w:t xml:space="preserve">JWT</w:t>
            </w:r>
          </w:p>
        </w:tc>
        <w:tc>
          <w:tcPr>
            <w:tcW w:type="dxa" w:w="7708"/>
          </w:tcPr>
          <w:p>
            <w:pPr>
              <w:pStyle w:val="Compact"/>
              <w:jc w:val="left"/>
            </w:pPr>
            <w:r>
              <w:t xml:space="preserve">JSON Web Token</w:t>
            </w:r>
          </w:p>
        </w:tc>
      </w:tr>
      <w:tr>
        <w:tc>
          <w:tcPr>
            <w:tcW w:type="dxa" w:w="1321"/>
          </w:tcPr>
          <w:p>
            <w:pPr>
              <w:pStyle w:val="Compact"/>
              <w:jc w:val="left"/>
            </w:pPr>
            <w:r>
              <w:t xml:space="preserve">MoSCoW</w:t>
            </w:r>
          </w:p>
        </w:tc>
        <w:tc>
          <w:tcPr>
            <w:tcW w:type="dxa" w:w="7708"/>
          </w:tcPr>
          <w:p>
            <w:pPr>
              <w:pStyle w:val="Compact"/>
              <w:jc w:val="left"/>
            </w:pPr>
            <w:r>
              <w:t xml:space="preserve">Must have, Should have, Could have, Won’t have</w:t>
            </w:r>
          </w:p>
        </w:tc>
      </w:tr>
      <w:tr>
        <w:tc>
          <w:tcPr>
            <w:tcW w:type="dxa" w:w="1321"/>
          </w:tcPr>
          <w:p>
            <w:pPr>
              <w:pStyle w:val="Compact"/>
              <w:jc w:val="left"/>
            </w:pPr>
            <w:r>
              <w:t xml:space="preserve">MTTD</w:t>
            </w:r>
          </w:p>
        </w:tc>
        <w:tc>
          <w:tcPr>
            <w:tcW w:type="dxa" w:w="7708"/>
          </w:tcPr>
          <w:p>
            <w:pPr>
              <w:pStyle w:val="Compact"/>
              <w:jc w:val="left"/>
            </w:pPr>
            <w:r>
              <w:t xml:space="preserve">Motor Traffic and Transport Department</w:t>
            </w:r>
          </w:p>
        </w:tc>
      </w:tr>
      <w:tr>
        <w:tc>
          <w:tcPr>
            <w:tcW w:type="dxa" w:w="1321"/>
          </w:tcPr>
          <w:p>
            <w:pPr>
              <w:pStyle w:val="Compact"/>
              <w:jc w:val="left"/>
            </w:pPr>
            <w:r>
              <w:t xml:space="preserve">NFR</w:t>
            </w:r>
          </w:p>
        </w:tc>
        <w:tc>
          <w:tcPr>
            <w:tcW w:type="dxa" w:w="7708"/>
          </w:tcPr>
          <w:p>
            <w:pPr>
              <w:pStyle w:val="Compact"/>
              <w:jc w:val="left"/>
            </w:pPr>
            <w:r>
              <w:t xml:space="preserve">Non-Functional Requirement</w:t>
            </w:r>
          </w:p>
        </w:tc>
      </w:tr>
      <w:tr>
        <w:tc>
          <w:tcPr>
            <w:tcW w:type="dxa" w:w="1321"/>
          </w:tcPr>
          <w:p>
            <w:pPr>
              <w:pStyle w:val="Compact"/>
              <w:jc w:val="left"/>
            </w:pPr>
            <w:r>
              <w:t xml:space="preserve">PK</w:t>
            </w:r>
          </w:p>
        </w:tc>
        <w:tc>
          <w:tcPr>
            <w:tcW w:type="dxa" w:w="7708"/>
          </w:tcPr>
          <w:p>
            <w:pPr>
              <w:pStyle w:val="Compact"/>
              <w:jc w:val="left"/>
            </w:pPr>
            <w:r>
              <w:t xml:space="preserve">Primary key — the column that uniquely identifies a row</w:t>
            </w:r>
          </w:p>
        </w:tc>
      </w:tr>
      <w:tr>
        <w:tc>
          <w:tcPr>
            <w:tcW w:type="dxa" w:w="1321"/>
          </w:tcPr>
          <w:p>
            <w:pPr>
              <w:pStyle w:val="Compact"/>
              <w:jc w:val="left"/>
            </w:pPr>
            <w:r>
              <w:t xml:space="preserve">PK_FK</w:t>
            </w:r>
          </w:p>
        </w:tc>
        <w:tc>
          <w:tcPr>
            <w:tcW w:type="dxa" w:w="7708"/>
          </w:tcPr>
          <w:p>
            <w:pPr>
              <w:pStyle w:val="Compact"/>
              <w:jc w:val="left"/>
            </w:pPr>
            <w:r>
              <w:t xml:space="preserve">Both at once: part of a composite primary key, and a foreign key</w:t>
            </w:r>
          </w:p>
        </w:tc>
      </w:tr>
      <w:tr>
        <w:tc>
          <w:tcPr>
            <w:tcW w:type="dxa" w:w="1321"/>
          </w:tcPr>
          <w:p>
            <w:pPr>
              <w:pStyle w:val="Compact"/>
              <w:jc w:val="left"/>
            </w:pPr>
            <w:r>
              <w:t xml:space="preserve">PostGIS</w:t>
            </w:r>
          </w:p>
        </w:tc>
        <w:tc>
          <w:tcPr>
            <w:tcW w:type="dxa" w:w="7708"/>
          </w:tcPr>
          <w:p>
            <w:pPr>
              <w:pStyle w:val="Compact"/>
              <w:jc w:val="left"/>
            </w:pPr>
            <w:r>
              <w:t xml:space="preserve">The spatial extension to PostgreSQL</w:t>
            </w:r>
          </w:p>
        </w:tc>
      </w:tr>
      <w:tr>
        <w:tc>
          <w:tcPr>
            <w:tcW w:type="dxa" w:w="1321"/>
          </w:tcPr>
          <w:p>
            <w:pPr>
              <w:pStyle w:val="Compact"/>
              <w:jc w:val="left"/>
            </w:pPr>
            <w:r>
              <w:t xml:space="preserve">PWA</w:t>
            </w:r>
          </w:p>
        </w:tc>
        <w:tc>
          <w:tcPr>
            <w:tcW w:type="dxa" w:w="7708"/>
          </w:tcPr>
          <w:p>
            <w:pPr>
              <w:pStyle w:val="Compact"/>
              <w:jc w:val="left"/>
            </w:pPr>
            <w:r>
              <w:t xml:space="preserve">Progressive Web Application</w:t>
            </w:r>
          </w:p>
        </w:tc>
      </w:tr>
      <w:tr>
        <w:tc>
          <w:tcPr>
            <w:tcW w:type="dxa" w:w="1321"/>
          </w:tcPr>
          <w:p>
            <w:pPr>
              <w:pStyle w:val="Compact"/>
              <w:jc w:val="left"/>
            </w:pPr>
            <w:r>
              <w:t xml:space="preserve">SRS</w:t>
            </w:r>
          </w:p>
        </w:tc>
        <w:tc>
          <w:tcPr>
            <w:tcW w:type="dxa" w:w="7708"/>
          </w:tcPr>
          <w:p>
            <w:pPr>
              <w:pStyle w:val="Compact"/>
              <w:jc w:val="left"/>
            </w:pPr>
            <w:r>
              <w:t xml:space="preserve">Software Requirements Specification</w:t>
            </w:r>
          </w:p>
        </w:tc>
      </w:tr>
      <w:tr>
        <w:tc>
          <w:tcPr>
            <w:tcW w:type="dxa" w:w="1321"/>
          </w:tcPr>
          <w:p>
            <w:pPr>
              <w:pStyle w:val="Compact"/>
              <w:jc w:val="left"/>
            </w:pPr>
            <w:r>
              <w:t xml:space="preserve">TD</w:t>
            </w:r>
          </w:p>
        </w:tc>
        <w:tc>
          <w:tcPr>
            <w:tcW w:type="dxa" w:w="7708"/>
          </w:tcPr>
          <w:p>
            <w:pPr>
              <w:pStyle w:val="Compact"/>
              <w:jc w:val="left"/>
            </w:pPr>
            <w:r>
              <w:t xml:space="preserve">Technical Debt item</w:t>
            </w:r>
          </w:p>
        </w:tc>
      </w:tr>
      <w:tr>
        <w:tc>
          <w:tcPr>
            <w:tcW w:type="dxa" w:w="1321"/>
          </w:tcPr>
          <w:p>
            <w:pPr>
              <w:pStyle w:val="Compact"/>
              <w:jc w:val="left"/>
            </w:pPr>
            <w:r>
              <w:t xml:space="preserve">UCP</w:t>
            </w:r>
          </w:p>
        </w:tc>
        <w:tc>
          <w:tcPr>
            <w:tcW w:type="dxa" w:w="7708"/>
          </w:tcPr>
          <w:p>
            <w:pPr>
              <w:pStyle w:val="Compact"/>
              <w:jc w:val="left"/>
            </w:pPr>
            <w:r>
              <w:t xml:space="preserve">Use Case Points</w:t>
            </w:r>
          </w:p>
        </w:tc>
      </w:tr>
      <w:tr>
        <w:tc>
          <w:tcPr>
            <w:tcW w:type="dxa" w:w="1321"/>
          </w:tcPr>
          <w:p>
            <w:pPr>
              <w:pStyle w:val="Compact"/>
              <w:jc w:val="left"/>
            </w:pPr>
            <w:r>
              <w:t xml:space="preserve">UK</w:t>
            </w:r>
          </w:p>
        </w:tc>
        <w:tc>
          <w:tcPr>
            <w:tcW w:type="dxa" w:w="7708"/>
          </w:tcPr>
          <w:p>
            <w:pPr>
              <w:pStyle w:val="Compact"/>
              <w:jc w:val="left"/>
            </w:pPr>
            <w:r>
              <w:t xml:space="preserve">Unique key — no two rows may share this value, though it is not the identifier</w:t>
            </w:r>
          </w:p>
        </w:tc>
      </w:tr>
      <w:tr>
        <w:tc>
          <w:tcPr>
            <w:tcW w:type="dxa" w:w="1321"/>
          </w:tcPr>
          <w:p>
            <w:pPr>
              <w:pStyle w:val="Compact"/>
              <w:jc w:val="left"/>
            </w:pPr>
            <w:r>
              <w:t xml:space="preserve">UML</w:t>
            </w:r>
          </w:p>
        </w:tc>
        <w:tc>
          <w:tcPr>
            <w:tcW w:type="dxa" w:w="7708"/>
          </w:tcPr>
          <w:p>
            <w:pPr>
              <w:pStyle w:val="Compact"/>
              <w:jc w:val="left"/>
            </w:pPr>
            <w:r>
              <w:t xml:space="preserve">Unified Modelling Language</w:t>
            </w:r>
          </w:p>
        </w:tc>
      </w:tr>
    </w:tbl>
    <w:sectPr w:rsidR="00E17C8B">
      <w:headerReference w:type="even" r:id="rId11"/>
      <w:headerReference w:type="default" r:id="rId10"/>
      <w:footerReference w:type="even" r:id="rId13"/>
      <w:footerReference w:type="default" r:id="rId12"/>
      <w:headerReference w:type="first" r:id="rId9"/>
      <w:footerReference w:type="first" r:id="rId14"/>
      <w:pgSz w:w="11909" w:h="16834"/>
      <w:pgMar w:top="1440" w:right="1440" w:bottom="1440" w:left="1440" w:header="720" w:footer="720" w:gutter="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CE19" w14:textId="77777777" w:rsidR="00E17C8B" w:rsidRDefault="00E17C8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184C3" w14:textId="77777777" w:rsidR="00E17C8B" w:rsidRDefault="0029043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B7297">
      <w:rPr>
        <w:noProof/>
        <w:color w:val="000000"/>
      </w:rPr>
      <w:t>2</w:t>
    </w:r>
    <w:r>
      <w:rPr>
        <w:color w:val="000000"/>
      </w:rPr>
      <w:fldChar w:fldCharType="end"/>
    </w:r>
  </w:p>
  <w:p w14:paraId="116EF1A1" w14:textId="77777777" w:rsidR="00E17C8B" w:rsidRDefault="00E17C8B">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C5E11" w14:textId="77777777" w:rsidR="00E17C8B" w:rsidRDefault="00E17C8B">
    <w:pPr>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9E3A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C9D6"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7063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137C5"/>
    <w:multiLevelType w:val="multilevel"/>
    <w:tmpl w:val="61F4638A"/>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F786127"/>
    <w:multiLevelType w:val="multilevel"/>
    <w:tmpl w:val="D652A6FC"/>
    <w:lvl w:ilvl="0">
      <w:start w:val="1"/>
      <w:numFmt w:val="decimal"/>
      <w:pStyle w:val="reference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0"/>
  </w:num>
  <w:num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96"/>
  </w:style>
  <w:style w:type="paragraph" w:styleId="Heading1">
    <w:name w:val="heading 1"/>
    <w:basedOn w:val="Normal"/>
    <w:next w:val="Normal"/>
    <w:link w:val="Heading1Char"/>
    <w:uiPriority w:val="9"/>
    <w:qFormat/>
    <w:rsid w:val="000A30F6"/>
    <w:pPr>
      <w:keepNext/>
      <w:keepLines/>
      <w:spacing w:before="400" w:after="120"/>
      <w:jc w:val="center"/>
      <w:outlineLvl w:val="0"/>
    </w:pPr>
    <w:rPr>
      <w:b/>
      <w:caps/>
      <w:sz w:val="28"/>
      <w:szCs w:val="40"/>
    </w:rPr>
  </w:style>
  <w:style w:type="paragraph" w:styleId="Heading2">
    <w:name w:val="heading 2"/>
    <w:basedOn w:val="Normal"/>
    <w:next w:val="Normal"/>
    <w:link w:val="Heading2Char"/>
    <w:uiPriority w:val="9"/>
    <w:unhideWhenUsed/>
    <w:qFormat/>
    <w:rsid w:val="00040DDE"/>
    <w:pPr>
      <w:keepNext/>
      <w:keepLines/>
      <w:spacing w:before="360" w:after="120"/>
      <w:outlineLvl w:val="1"/>
    </w:pPr>
    <w:rPr>
      <w:sz w:val="28"/>
      <w:szCs w:val="32"/>
    </w:rPr>
  </w:style>
  <w:style w:type="paragraph" w:styleId="Heading3">
    <w:name w:val="heading 3"/>
    <w:basedOn w:val="Normal"/>
    <w:next w:val="Normal"/>
    <w:uiPriority w:val="9"/>
    <w:semiHidden/>
    <w:unhideWhenUsed/>
    <w:qFormat/>
    <w:rsid w:val="00C24D06"/>
    <w:pPr>
      <w:keepNext/>
      <w:keepLines/>
      <w:spacing w:before="320" w:after="80"/>
      <w:outlineLvl w:val="2"/>
    </w:pPr>
    <w:rPr>
      <w:sz w:val="28"/>
      <w:szCs w:val="28"/>
    </w:rPr>
  </w:style>
  <w:style w:type="paragraph" w:styleId="Heading4">
    <w:name w:val="heading 4"/>
    <w:basedOn w:val="Normal"/>
    <w:next w:val="Normal"/>
    <w:uiPriority w:val="9"/>
    <w:semiHidden/>
    <w:unhideWhenUsed/>
    <w:qFormat/>
    <w:rsid w:val="00FA3415"/>
    <w:pPr>
      <w:keepNext/>
      <w:keepLines/>
      <w:spacing w:before="280" w:after="80"/>
      <w:outlineLvl w:val="3"/>
    </w:pPr>
  </w:style>
  <w:style w:type="paragraph" w:styleId="Heading5">
    <w:name w:val="heading 5"/>
    <w:basedOn w:val="Normal"/>
    <w:next w:val="Normal"/>
    <w:uiPriority w:val="9"/>
    <w:semiHidden/>
    <w:unhideWhenUsed/>
    <w:qFormat/>
    <w:rsid w:val="00911131"/>
    <w:pPr>
      <w:keepNext/>
      <w:keepLines/>
      <w:spacing w:before="240" w:after="80"/>
      <w:outlineLvl w:val="4"/>
    </w:pPr>
  </w:style>
  <w:style w:type="paragraph" w:styleId="Heading6">
    <w:name w:val="heading 6"/>
    <w:basedOn w:val="Normal"/>
    <w:next w:val="Normal"/>
    <w:uiPriority w:val="9"/>
    <w:semiHidden/>
    <w:unhideWhenUsed/>
    <w:qFormat/>
    <w:rsid w:val="00911131"/>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7B79"/>
    <w:pPr>
      <w:ind w:left="720"/>
      <w:contextualSpacing/>
    </w:pPr>
  </w:style>
  <w:style w:type="paragraph" w:customStyle="1" w:styleId="referenceitem">
    <w:name w:val="referenceitem"/>
    <w:basedOn w:val="Normal"/>
    <w:rsid w:val="005334E6"/>
    <w:pPr>
      <w:numPr>
        <w:numId w:val="2"/>
      </w:numPr>
      <w:overflowPunct w:val="0"/>
      <w:autoSpaceDE w:val="0"/>
      <w:autoSpaceDN w:val="0"/>
      <w:adjustRightInd w:val="0"/>
      <w:spacing w:line="220" w:lineRule="atLeast"/>
      <w:textAlignment w:val="baseline"/>
    </w:pPr>
    <w:rPr>
      <w:sz w:val="18"/>
      <w:szCs w:val="20"/>
      <w:lang w:val="en-US" w:eastAsia="en-US"/>
    </w:rPr>
  </w:style>
  <w:style w:type="numbering" w:customStyle="1" w:styleId="referencelist">
    <w:name w:val="referencelist"/>
    <w:basedOn w:val="NoList"/>
    <w:semiHidden/>
    <w:rsid w:val="005334E6"/>
  </w:style>
  <w:style w:type="paragraph" w:customStyle="1" w:styleId="UGStyles">
    <w:name w:val="UG Styles"/>
    <w:basedOn w:val="Normal"/>
    <w:link w:val="UGStylesChar"/>
    <w:autoRedefine/>
    <w:qFormat/>
    <w:rsid w:val="00D3397E"/>
    <w:pPr>
      <w:spacing w:after="160" w:line="259" w:lineRule="auto"/>
    </w:pPr>
    <w:rPr>
      <w:rFonts w:eastAsiaTheme="minorHAnsi" w:cstheme="minorBidi"/>
      <w:color w:val="FF0000"/>
      <w:lang w:eastAsia="en-US"/>
    </w:rPr>
  </w:style>
  <w:style w:type="character" w:customStyle="1" w:styleId="UGStylesChar">
    <w:name w:val="UG Styles Char"/>
    <w:basedOn w:val="DefaultParagraphFont"/>
    <w:link w:val="UGStyles"/>
    <w:rsid w:val="00D3397E"/>
    <w:rPr>
      <w:rFonts w:ascii="Times New Roman" w:eastAsiaTheme="minorHAnsi" w:hAnsi="Times New Roman" w:cstheme="minorBidi"/>
      <w:color w:val="FF0000"/>
      <w:sz w:val="24"/>
      <w:lang w:eastAsia="en-US"/>
    </w:rPr>
  </w:style>
  <w:style w:type="paragraph" w:customStyle="1" w:styleId="Default">
    <w:name w:val="Default"/>
    <w:rsid w:val="009B683C"/>
    <w:pPr>
      <w:autoSpaceDE w:val="0"/>
      <w:autoSpaceDN w:val="0"/>
      <w:adjustRightInd w:val="0"/>
      <w:spacing w:line="240" w:lineRule="auto"/>
    </w:pPr>
    <w:rPr>
      <w:rFonts w:eastAsiaTheme="minorHAnsi"/>
      <w:color w:val="000000"/>
      <w:lang w:eastAsia="en-US"/>
    </w:rPr>
  </w:style>
  <w:style w:type="character" w:customStyle="1" w:styleId="Heading1Char">
    <w:name w:val="Heading 1 Char"/>
    <w:basedOn w:val="DefaultParagraphFont"/>
    <w:link w:val="Heading1"/>
    <w:uiPriority w:val="9"/>
    <w:rsid w:val="000A30F6"/>
    <w:rPr>
      <w:rFonts w:ascii="Times New Roman" w:hAnsi="Times New Roman"/>
      <w:b/>
      <w:caps/>
      <w:sz w:val="28"/>
      <w:szCs w:val="40"/>
    </w:rPr>
  </w:style>
  <w:style w:type="paragraph" w:styleId="Bibliography">
    <w:name w:val="Bibliography"/>
    <w:basedOn w:val="Normal"/>
    <w:next w:val="Normal"/>
    <w:uiPriority w:val="37"/>
    <w:unhideWhenUsed/>
    <w:rsid w:val="000D6732"/>
  </w:style>
  <w:style w:type="character" w:customStyle="1" w:styleId="Heading2Char">
    <w:name w:val="Heading 2 Char"/>
    <w:basedOn w:val="DefaultParagraphFont"/>
    <w:link w:val="Heading2"/>
    <w:uiPriority w:val="9"/>
    <w:rsid w:val="00040DDE"/>
    <w:rPr>
      <w:rFonts w:ascii="Times New Roman" w:hAnsi="Times New Roman"/>
      <w:sz w:val="28"/>
      <w:szCs w:val="32"/>
    </w:rPr>
  </w:style>
  <w:style w:type="paragraph" w:styleId="TOC1">
    <w:name w:val="toc 1"/>
    <w:basedOn w:val="Normal"/>
    <w:next w:val="Normal"/>
    <w:autoRedefine/>
    <w:uiPriority w:val="39"/>
    <w:unhideWhenUsed/>
    <w:rsid w:val="00CF6ECE"/>
    <w:pPr>
      <w:spacing w:after="100"/>
    </w:pPr>
  </w:style>
  <w:style w:type="paragraph" w:styleId="TOC2">
    <w:name w:val="toc 2"/>
    <w:basedOn w:val="Normal"/>
    <w:next w:val="Normal"/>
    <w:autoRedefine/>
    <w:uiPriority w:val="39"/>
    <w:unhideWhenUsed/>
    <w:rsid w:val="00CF6ECE"/>
    <w:pPr>
      <w:spacing w:after="100"/>
      <w:ind w:left="220"/>
    </w:pPr>
  </w:style>
  <w:style w:type="character" w:styleId="Hyperlink">
    <w:name w:val="Hyperlink"/>
    <w:basedOn w:val="DefaultParagraphFont"/>
    <w:uiPriority w:val="99"/>
    <w:unhideWhenUsed/>
    <w:rsid w:val="00CF6ECE"/>
    <w:rPr>
      <w:color w:val="0000FF" w:themeColor="hyperlink"/>
      <w:u w:val="single"/>
    </w:rPr>
  </w:style>
  <w:style w:type="paragraph" w:styleId="NormalWeb">
    <w:name w:val="Normal (Web)"/>
    <w:basedOn w:val="Normal"/>
    <w:uiPriority w:val="99"/>
    <w:semiHidden/>
    <w:unhideWhenUsed/>
    <w:rsid w:val="004268EE"/>
  </w:style>
  <w:style w:type="character" w:styleId="UnresolvedMention">
    <w:name w:val="Unresolved Mention"/>
    <w:basedOn w:val="DefaultParagraphFont"/>
    <w:uiPriority w:val="99"/>
    <w:semiHidden/>
    <w:unhideWhenUsed/>
    <w:rsid w:val="004268EE"/>
    <w:rPr>
      <w:color w:val="605E5C"/>
      <w:shd w:val="clear" w:color="auto" w:fill="E1DFDD"/>
    </w:rPr>
  </w:style>
  <w:style w:type="character" w:customStyle="1" w:styleId="mo">
    <w:name w:val="mo"/>
    <w:basedOn w:val="DefaultParagraphFont"/>
    <w:rsid w:val="000873CA"/>
  </w:style>
  <w:style w:type="character" w:customStyle="1" w:styleId="mn">
    <w:name w:val="mn"/>
    <w:basedOn w:val="DefaultParagraphFont"/>
    <w:rsid w:val="000873CA"/>
  </w:style>
  <w:style w:type="table" w:styleId="TableGrid">
    <w:name w:val="Table Grid"/>
    <w:basedOn w:val="TableNormal"/>
    <w:uiPriority w:val="39"/>
    <w:rsid w:val="00D012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1896"/>
    <w:rPr>
      <w:color w:val="808080"/>
    </w:rPr>
  </w:style>
  <w:style w:type="paragraph" w:styleId="HTMLPreformatted">
    <w:name w:val="HTML Preformatted"/>
    <w:basedOn w:val="Normal"/>
    <w:link w:val="HTMLPreformattedChar"/>
    <w:uiPriority w:val="99"/>
    <w:semiHidden/>
    <w:unhideWhenUsed/>
    <w:rsid w:val="007A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A6489"/>
    <w:rPr>
      <w:rFonts w:ascii="Courier New" w:eastAsia="Times New Roman" w:hAnsi="Courier New" w:cs="Courier New"/>
      <w:sz w:val="20"/>
      <w:szCs w:val="20"/>
      <w:lang w:val="en-US" w:eastAsia="en-US"/>
    </w:rPr>
  </w:style>
  <w:style w:type="paragraph" w:styleId="TOC3">
    <w:name w:val="toc 3"/>
    <w:basedOn w:val="Normal"/>
    <w:next w:val="Normal"/>
    <w:autoRedefine/>
    <w:uiPriority w:val="39"/>
    <w:unhideWhenUsed/>
    <w:rsid w:val="0014284A"/>
    <w:pPr>
      <w:spacing w:after="100"/>
      <w:ind w:left="440"/>
    </w:pPr>
  </w:style>
  <w:style w:type="paragraph" w:styleId="TOC4">
    <w:name w:val="toc 4"/>
    <w:basedOn w:val="Normal"/>
    <w:next w:val="Normal"/>
    <w:autoRedefine/>
    <w:uiPriority w:val="39"/>
    <w:unhideWhenUsed/>
    <w:rsid w:val="0014284A"/>
    <w:pPr>
      <w:spacing w:after="100"/>
      <w:ind w:left="660"/>
    </w:pPr>
  </w:style>
  <w:style w:type="paragraph" w:styleId="TOC5">
    <w:name w:val="toc 5"/>
    <w:basedOn w:val="Normal"/>
    <w:next w:val="Normal"/>
    <w:autoRedefine/>
    <w:uiPriority w:val="39"/>
    <w:unhideWhenUsed/>
    <w:rsid w:val="0014284A"/>
    <w:pPr>
      <w:spacing w:after="100"/>
      <w:ind w:left="880"/>
    </w:pPr>
  </w:style>
  <w:style w:type="paragraph" w:styleId="TOC6">
    <w:name w:val="toc 6"/>
    <w:basedOn w:val="Normal"/>
    <w:next w:val="Normal"/>
    <w:autoRedefine/>
    <w:uiPriority w:val="39"/>
    <w:unhideWhenUsed/>
    <w:rsid w:val="0014284A"/>
    <w:pPr>
      <w:spacing w:after="100"/>
      <w:ind w:left="1100"/>
    </w:pPr>
  </w:style>
  <w:style w:type="character" w:styleId="CommentReference">
    <w:name w:val="annotation reference"/>
    <w:basedOn w:val="DefaultParagraphFont"/>
    <w:uiPriority w:val="99"/>
    <w:semiHidden/>
    <w:unhideWhenUsed/>
    <w:rsid w:val="00A45BBA"/>
    <w:rPr>
      <w:sz w:val="16"/>
      <w:szCs w:val="16"/>
    </w:rPr>
  </w:style>
  <w:style w:type="paragraph" w:styleId="CommentText">
    <w:name w:val="annotation text"/>
    <w:basedOn w:val="Normal"/>
    <w:link w:val="CommentTextChar"/>
    <w:uiPriority w:val="99"/>
    <w:unhideWhenUsed/>
    <w:rsid w:val="00A45BBA"/>
    <w:pPr>
      <w:spacing w:line="240" w:lineRule="auto"/>
    </w:pPr>
    <w:rPr>
      <w:sz w:val="20"/>
      <w:szCs w:val="20"/>
    </w:rPr>
  </w:style>
  <w:style w:type="character" w:customStyle="1" w:styleId="CommentTextChar">
    <w:name w:val="Comment Text Char"/>
    <w:basedOn w:val="DefaultParagraphFont"/>
    <w:link w:val="CommentText"/>
    <w:uiPriority w:val="99"/>
    <w:rsid w:val="00A45BBA"/>
    <w:rPr>
      <w:sz w:val="20"/>
      <w:szCs w:val="20"/>
    </w:rPr>
  </w:style>
  <w:style w:type="paragraph" w:styleId="CommentSubject">
    <w:name w:val="annotation subject"/>
    <w:basedOn w:val="CommentText"/>
    <w:next w:val="CommentText"/>
    <w:link w:val="CommentSubjectChar"/>
    <w:uiPriority w:val="99"/>
    <w:semiHidden/>
    <w:unhideWhenUsed/>
    <w:rsid w:val="00A45BBA"/>
    <w:rPr>
      <w:b/>
      <w:bCs/>
    </w:rPr>
  </w:style>
  <w:style w:type="character" w:customStyle="1" w:styleId="CommentSubjectChar">
    <w:name w:val="Comment Subject Char"/>
    <w:basedOn w:val="CommentTextChar"/>
    <w:link w:val="CommentSubject"/>
    <w:uiPriority w:val="99"/>
    <w:semiHidden/>
    <w:rsid w:val="00A45BBA"/>
    <w:rPr>
      <w:b/>
      <w:bCs/>
      <w:sz w:val="20"/>
      <w:szCs w:val="20"/>
    </w:rPr>
  </w:style>
  <w:style w:type="character" w:customStyle="1" w:styleId="mi">
    <w:name w:val="mi"/>
    <w:basedOn w:val="DefaultParagraphFont"/>
    <w:rsid w:val="00CF2B4A"/>
  </w:style>
  <w:style w:type="character" w:customStyle="1" w:styleId="html-italic">
    <w:name w:val="html-italic"/>
    <w:basedOn w:val="DefaultParagraphFont"/>
    <w:rsid w:val="00413EF9"/>
  </w:style>
  <w:style w:type="paragraph" w:customStyle="1" w:styleId="msonormal0">
    <w:name w:val="msonormal"/>
    <w:basedOn w:val="Normal"/>
    <w:rsid w:val="003A63DA"/>
    <w:pPr>
      <w:spacing w:before="100" w:beforeAutospacing="1" w:after="100" w:afterAutospacing="1" w:line="240" w:lineRule="auto"/>
    </w:pPr>
    <w:rPr>
      <w:rFonts w:eastAsiaTheme="minorEastAsia"/>
      <w:lang w:val="en-US" w:eastAsia="en-US"/>
    </w:rPr>
  </w:style>
  <w:style w:type="paragraph" w:styleId="Header">
    <w:name w:val="header"/>
    <w:basedOn w:val="Normal"/>
    <w:link w:val="HeaderChar"/>
    <w:uiPriority w:val="99"/>
    <w:unhideWhenUsed/>
    <w:rsid w:val="00551607"/>
    <w:pPr>
      <w:tabs>
        <w:tab w:val="center" w:pos="4680"/>
        <w:tab w:val="right" w:pos="9360"/>
      </w:tabs>
      <w:spacing w:line="240" w:lineRule="auto"/>
    </w:pPr>
  </w:style>
  <w:style w:type="character" w:customStyle="1" w:styleId="HeaderChar">
    <w:name w:val="Header Char"/>
    <w:basedOn w:val="DefaultParagraphFont"/>
    <w:link w:val="Header"/>
    <w:uiPriority w:val="99"/>
    <w:rsid w:val="00551607"/>
  </w:style>
  <w:style w:type="paragraph" w:styleId="Footer">
    <w:name w:val="footer"/>
    <w:basedOn w:val="Normal"/>
    <w:link w:val="FooterChar"/>
    <w:uiPriority w:val="99"/>
    <w:unhideWhenUsed/>
    <w:rsid w:val="00551607"/>
    <w:pPr>
      <w:tabs>
        <w:tab w:val="center" w:pos="4680"/>
        <w:tab w:val="right" w:pos="9360"/>
      </w:tabs>
      <w:spacing w:line="240" w:lineRule="auto"/>
    </w:pPr>
  </w:style>
  <w:style w:type="character" w:customStyle="1" w:styleId="FooterChar">
    <w:name w:val="Footer Char"/>
    <w:basedOn w:val="DefaultParagraphFont"/>
    <w:link w:val="Footer"/>
    <w:uiPriority w:val="99"/>
    <w:rsid w:val="00551607"/>
  </w:style>
  <w:style w:type="paragraph" w:styleId="TOCHeading">
    <w:name w:val="TOC Heading"/>
    <w:basedOn w:val="Heading1"/>
    <w:next w:val="Normal"/>
    <w:uiPriority w:val="39"/>
    <w:unhideWhenUsed/>
    <w:qFormat/>
    <w:rsid w:val="008C4420"/>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Caption">
    <w:name w:val="caption"/>
    <w:aliases w:val="List of Figures"/>
    <w:basedOn w:val="TableofFigures"/>
    <w:uiPriority w:val="35"/>
    <w:unhideWhenUsed/>
    <w:qFormat/>
    <w:rsid w:val="00E522DA"/>
    <w:pPr>
      <w:spacing w:after="200" w:line="240" w:lineRule="auto"/>
    </w:pPr>
    <w:rPr>
      <w:iCs/>
      <w:szCs w:val="18"/>
    </w:rPr>
  </w:style>
  <w:style w:type="paragraph" w:styleId="TableofFigures">
    <w:name w:val="table of figures"/>
    <w:basedOn w:val="Normal"/>
    <w:next w:val="Normal"/>
    <w:uiPriority w:val="99"/>
    <w:unhideWhenUsed/>
    <w:rsid w:val="00907FC2"/>
  </w:style>
  <w:style w:type="paragraph" w:styleId="Revision">
    <w:name w:val="Revision"/>
    <w:hidden/>
    <w:uiPriority w:val="99"/>
    <w:semiHidden/>
    <w:rsid w:val="00C121F4"/>
    <w:pPr>
      <w:spacing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2" Target="media/rId32.png" /><Relationship Id="rId33"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2026-08-15T16:44:56Z</dcterms:created>
  <dcterms:modified xsi:type="dcterms:W3CDTF">2026-08-15T16:44:56Z</dcterms:modified>
</cp:coreProperties>
</file>

<file path=docProps/custom.xml><?xml version="1.0" encoding="utf-8"?>
<Properties xmlns="http://schemas.openxmlformats.org/officeDocument/2006/custom-properties" xmlns:vt="http://schemas.openxmlformats.org/officeDocument/2006/docPropsVTypes"/>
</file>