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XC-Functional: </w:t>
      </w:r>
      <w:r>
        <w:rPr>
          <w:b/>
        </w:rPr>
        <w:t>OLYP</w:t>
      </w:r>
    </w:p>
    <w:p>
      <w:pPr>
        <w:jc w:val="both"/>
      </w:pPr>
      <w:r>
        <w:t xml:space="preserve">[1] N. C. Handy, A. J. Cohen, </w:t>
      </w:r>
      <w:r>
        <w:rPr>
          <w:i/>
        </w:rPr>
        <w:t>Mol. Phys.</w:t>
      </w:r>
      <w:r>
        <w:t xml:space="preserve"> </w:t>
      </w:r>
      <w:r>
        <w:rPr>
          <w:b/>
        </w:rPr>
        <w:t>2001</w:t>
      </w:r>
      <w:r>
        <w:t xml:space="preserve">, </w:t>
      </w:r>
      <w:r>
        <w:rPr>
          <w:i/>
        </w:rPr>
        <w:t>99</w:t>
      </w:r>
      <w:r>
        <w:t>, 403–412.</w:t>
      </w:r>
    </w:p>
    <w:p>
      <w:pPr>
        <w:jc w:val="both"/>
      </w:pPr>
      <w:r>
        <w:t xml:space="preserve">[2] C. Lee, W. Yang, R. G. Parr, </w:t>
      </w:r>
      <w:r>
        <w:rPr>
          <w:i/>
        </w:rPr>
        <w:t>Phys. Rev. B</w:t>
      </w:r>
      <w:r>
        <w:t xml:space="preserve"> </w:t>
      </w:r>
      <w:r>
        <w:rPr>
          <w:b/>
        </w:rPr>
        <w:t>1988</w:t>
      </w:r>
      <w:r>
        <w:t xml:space="preserve">, </w:t>
      </w:r>
      <w:r>
        <w:rPr>
          <w:i/>
        </w:rPr>
        <w:t>37</w:t>
      </w:r>
      <w:r>
        <w:t>, 785–789.</w:t>
      </w:r>
    </w:p>
    <w:p>
      <w:pPr>
        <w:jc w:val="left"/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