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DOI: </w:t>
      </w:r>
      <w:r>
        <w:rPr>
          <w:b/>
        </w:rPr>
        <w:t>10.1039/c9cp07007a</w:t>
      </w:r>
    </w:p>
    <w:p>
      <w:pPr>
        <w:jc w:val="both"/>
      </w:pPr>
      <w:r>
        <w:t xml:space="preserve">[1] D. A. Tasi, T. Győri, G. Czakó, </w:t>
      </w:r>
      <w:r>
        <w:rPr>
          <w:i/>
        </w:rPr>
        <w:t>Phys. Chem. Chem. Phys.</w:t>
      </w:r>
      <w:r>
        <w:t xml:space="preserve"> </w:t>
      </w:r>
      <w:r>
        <w:rPr>
          <w:b/>
        </w:rPr>
        <w:t>2020</w:t>
      </w:r>
      <w:r>
        <w:t xml:space="preserve">, </w:t>
      </w:r>
      <w:r>
        <w:rPr>
          <w:i/>
        </w:rPr>
        <w:t>22</w:t>
      </w:r>
      <w:r>
        <w:t>, 3775–3778.</w:t>
      </w:r>
    </w:p>
    <w:p>
      <w:pPr>
        <w:jc w:val="left"/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